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31F5" w14:textId="3F455DFF" w:rsidR="0062149E" w:rsidRDefault="0062149E">
      <w:pPr>
        <w:rPr>
          <w:rFonts w:ascii="Cambria" w:hAnsi="Cambria"/>
        </w:rPr>
      </w:pPr>
    </w:p>
    <w:p w14:paraId="54706E6B" w14:textId="77777777" w:rsidR="0062149E" w:rsidRPr="00916246" w:rsidRDefault="0062149E" w:rsidP="0062149E">
      <w:pPr>
        <w:shd w:val="clear" w:color="auto" w:fill="FFFFFF"/>
        <w:spacing w:after="0" w:line="240" w:lineRule="auto"/>
        <w:jc w:val="center"/>
        <w:outlineLvl w:val="0"/>
        <w:rPr>
          <w:rFonts w:ascii="Cambria" w:eastAsia="Times New Roman" w:hAnsi="Cambria" w:cs="Arial"/>
          <w:b/>
          <w:bCs/>
          <w:kern w:val="36"/>
          <w:sz w:val="24"/>
          <w:szCs w:val="24"/>
        </w:rPr>
      </w:pPr>
      <w:r w:rsidRPr="000A6E6A">
        <w:rPr>
          <w:rFonts w:ascii="Cambria" w:eastAsia="Times New Roman" w:hAnsi="Cambria" w:cs="Arial"/>
          <w:b/>
          <w:bCs/>
          <w:kern w:val="36"/>
          <w:sz w:val="24"/>
          <w:szCs w:val="24"/>
        </w:rPr>
        <w:t xml:space="preserve">Uniform Guidance Changes Effective November 12, 2020: </w:t>
      </w:r>
    </w:p>
    <w:p w14:paraId="7848DC3B" w14:textId="77777777" w:rsidR="0062149E" w:rsidRPr="00916246" w:rsidRDefault="0062149E" w:rsidP="0062149E">
      <w:pPr>
        <w:shd w:val="clear" w:color="auto" w:fill="FFFFFF"/>
        <w:spacing w:after="0" w:line="240" w:lineRule="auto"/>
        <w:jc w:val="center"/>
        <w:outlineLvl w:val="0"/>
        <w:rPr>
          <w:rFonts w:ascii="Cambria" w:eastAsia="Times New Roman" w:hAnsi="Cambria" w:cs="Arial"/>
          <w:b/>
          <w:bCs/>
          <w:kern w:val="36"/>
          <w:sz w:val="24"/>
          <w:szCs w:val="24"/>
        </w:rPr>
      </w:pPr>
      <w:r w:rsidRPr="000A6E6A">
        <w:rPr>
          <w:rFonts w:ascii="Cambria" w:eastAsia="Times New Roman" w:hAnsi="Cambria" w:cs="Arial"/>
          <w:b/>
          <w:bCs/>
          <w:kern w:val="36"/>
          <w:sz w:val="24"/>
          <w:szCs w:val="24"/>
        </w:rPr>
        <w:t>Updates to Definitions, Procurement, De Minimis, and More</w:t>
      </w:r>
    </w:p>
    <w:p w14:paraId="1E35A9B7" w14:textId="77777777" w:rsidR="0062149E" w:rsidRPr="00916246" w:rsidRDefault="0062149E" w:rsidP="0062149E">
      <w:pPr>
        <w:spacing w:after="0" w:line="240" w:lineRule="auto"/>
        <w:rPr>
          <w:rFonts w:ascii="Cambria" w:hAnsi="Cambria"/>
          <w:sz w:val="24"/>
          <w:szCs w:val="24"/>
        </w:rPr>
      </w:pPr>
    </w:p>
    <w:p w14:paraId="1D8FEF82" w14:textId="77777777" w:rsidR="0062149E" w:rsidRDefault="0062149E" w:rsidP="0062149E">
      <w:pPr>
        <w:pStyle w:val="NormalWeb"/>
        <w:shd w:val="clear" w:color="auto" w:fill="FFFFFF"/>
        <w:spacing w:before="0" w:beforeAutospacing="0" w:after="0" w:afterAutospacing="0"/>
        <w:rPr>
          <w:rFonts w:ascii="Cambria" w:hAnsi="Cambria" w:cs="Arial"/>
        </w:rPr>
      </w:pPr>
    </w:p>
    <w:p w14:paraId="0BBC82B6" w14:textId="3D443175" w:rsidR="0062149E" w:rsidRPr="0062149E" w:rsidRDefault="0062149E" w:rsidP="0062149E">
      <w:pPr>
        <w:pStyle w:val="NormalWeb"/>
        <w:shd w:val="clear" w:color="auto" w:fill="FFFFFF"/>
        <w:spacing w:before="0" w:beforeAutospacing="0" w:after="0" w:afterAutospacing="0"/>
        <w:rPr>
          <w:rFonts w:ascii="Cambria" w:hAnsi="Cambria" w:cs="Arial"/>
          <w:i/>
          <w:iCs/>
        </w:rPr>
      </w:pPr>
      <w:r w:rsidRPr="0062149E">
        <w:rPr>
          <w:rFonts w:ascii="Cambria" w:hAnsi="Cambria" w:cs="Arial"/>
          <w:i/>
          <w:iCs/>
        </w:rPr>
        <w:t>In the fall of 2020, numerous</w:t>
      </w:r>
      <w:r w:rsidRPr="0062149E">
        <w:rPr>
          <w:rFonts w:ascii="Cambria" w:hAnsi="Cambria" w:cs="Arial"/>
          <w:i/>
          <w:iCs/>
        </w:rPr>
        <w:t xml:space="preserve"> revisions and updates </w:t>
      </w:r>
      <w:r w:rsidRPr="0062149E">
        <w:rPr>
          <w:rFonts w:ascii="Cambria" w:hAnsi="Cambria" w:cs="Arial"/>
          <w:i/>
          <w:iCs/>
        </w:rPr>
        <w:t xml:space="preserve">were made </w:t>
      </w:r>
      <w:r w:rsidRPr="0062149E">
        <w:rPr>
          <w:rFonts w:ascii="Cambria" w:hAnsi="Cambria" w:cs="Arial"/>
          <w:i/>
          <w:iCs/>
        </w:rPr>
        <w:t>to the Uniform Guidance. Some of the</w:t>
      </w:r>
      <w:r w:rsidRPr="0062149E">
        <w:rPr>
          <w:rFonts w:ascii="Cambria" w:hAnsi="Cambria" w:cs="Arial"/>
          <w:i/>
          <w:iCs/>
        </w:rPr>
        <w:t xml:space="preserve"> </w:t>
      </w:r>
      <w:r w:rsidRPr="0062149E">
        <w:rPr>
          <w:rFonts w:ascii="Cambria" w:hAnsi="Cambria" w:cs="Arial"/>
          <w:i/>
          <w:iCs/>
        </w:rPr>
        <w:t>significant changes to the Uniform Guidance are noted below</w:t>
      </w:r>
      <w:r w:rsidRPr="0062149E">
        <w:rPr>
          <w:rFonts w:ascii="Cambria" w:hAnsi="Cambria" w:cs="Arial"/>
          <w:i/>
          <w:iCs/>
        </w:rPr>
        <w:t>.</w:t>
      </w:r>
    </w:p>
    <w:p w14:paraId="0AB43EF1" w14:textId="77777777" w:rsidR="0062149E" w:rsidRPr="00916246" w:rsidRDefault="0062149E" w:rsidP="0062149E">
      <w:pPr>
        <w:pStyle w:val="NormalWeb"/>
        <w:shd w:val="clear" w:color="auto" w:fill="FFFFFF"/>
        <w:spacing w:before="0" w:beforeAutospacing="0" w:after="0" w:afterAutospacing="0"/>
        <w:rPr>
          <w:rFonts w:ascii="Cambria" w:hAnsi="Cambria" w:cs="Arial"/>
        </w:rPr>
      </w:pPr>
    </w:p>
    <w:p w14:paraId="59EF408E" w14:textId="77777777" w:rsidR="0062149E" w:rsidRPr="00916246" w:rsidRDefault="0062149E" w:rsidP="0062149E">
      <w:pPr>
        <w:pStyle w:val="NormalWeb"/>
        <w:shd w:val="clear" w:color="auto" w:fill="FFFFFF"/>
        <w:spacing w:before="0" w:beforeAutospacing="0" w:after="0" w:afterAutospacing="0"/>
        <w:rPr>
          <w:rStyle w:val="Strong"/>
          <w:rFonts w:ascii="Cambria" w:hAnsi="Cambria" w:cs="Arial"/>
        </w:rPr>
      </w:pPr>
    </w:p>
    <w:p w14:paraId="4A8C6984" w14:textId="77777777" w:rsidR="0062149E" w:rsidRPr="00E17188" w:rsidRDefault="0062149E" w:rsidP="0062149E">
      <w:pPr>
        <w:pStyle w:val="NormalWeb"/>
        <w:shd w:val="clear" w:color="auto" w:fill="FFFFFF"/>
        <w:spacing w:before="0" w:beforeAutospacing="0" w:after="0" w:afterAutospacing="0"/>
        <w:rPr>
          <w:rFonts w:ascii="Cambria" w:hAnsi="Cambria" w:cs="Arial"/>
          <w:b/>
          <w:bCs/>
        </w:rPr>
      </w:pPr>
      <w:r w:rsidRPr="00916246">
        <w:rPr>
          <w:rStyle w:val="Strong"/>
          <w:rFonts w:ascii="Cambria" w:hAnsi="Cambria" w:cs="Arial"/>
        </w:rPr>
        <w:t>Definition Changes: Period of Performance, Budget Period, and Renewal - 2 CFR 200.309</w:t>
      </w:r>
    </w:p>
    <w:p w14:paraId="07B8D64E" w14:textId="77777777" w:rsidR="0062149E" w:rsidRPr="00916246" w:rsidRDefault="0062149E" w:rsidP="0062149E">
      <w:pPr>
        <w:pStyle w:val="NormalWeb"/>
        <w:shd w:val="clear" w:color="auto" w:fill="FFFFFF"/>
        <w:spacing w:before="0" w:beforeAutospacing="0" w:after="0" w:afterAutospacing="0"/>
        <w:rPr>
          <w:rFonts w:ascii="Cambria" w:hAnsi="Cambria" w:cs="Arial"/>
        </w:rPr>
      </w:pPr>
      <w:r w:rsidRPr="00916246">
        <w:rPr>
          <w:rFonts w:ascii="Cambria" w:hAnsi="Cambria" w:cs="Arial"/>
        </w:rPr>
        <w:t>The definition of period of performance and renewal was revised to clarify that the term period of performance reflects the total estimated time interval between the start of an initial Federal award and the planned end date, and that the period of performance may include one or more budget periods, but the identification of the period of performance does not commit funding beyond the currently approved budget period. The definition of budget period was updated to clarify that recipients are authorized to expend the current funds awarded, including any funds carried forward. Further, recipients may only incur costs during the first-year budget period until subsequent budget periods are funded based on the availability of appropriations, satisfactory performance, and compliance with the terms and conditions of the award.</w:t>
      </w:r>
    </w:p>
    <w:p w14:paraId="590230A5" w14:textId="77777777" w:rsidR="0062149E" w:rsidRPr="00916246" w:rsidRDefault="0062149E" w:rsidP="0062149E">
      <w:pPr>
        <w:pStyle w:val="NormalWeb"/>
        <w:shd w:val="clear" w:color="auto" w:fill="FFFFFF"/>
        <w:spacing w:before="0" w:beforeAutospacing="0" w:after="0" w:afterAutospacing="0"/>
        <w:rPr>
          <w:rStyle w:val="Strong"/>
          <w:rFonts w:ascii="Cambria" w:hAnsi="Cambria" w:cs="Arial"/>
        </w:rPr>
      </w:pPr>
    </w:p>
    <w:p w14:paraId="441120A1" w14:textId="77777777" w:rsidR="0062149E" w:rsidRPr="00916246" w:rsidRDefault="0062149E" w:rsidP="0062149E">
      <w:pPr>
        <w:pStyle w:val="NormalWeb"/>
        <w:shd w:val="clear" w:color="auto" w:fill="FFFFFF"/>
        <w:spacing w:before="0" w:beforeAutospacing="0" w:after="0" w:afterAutospacing="0"/>
        <w:rPr>
          <w:rFonts w:ascii="Cambria" w:hAnsi="Cambria" w:cs="Arial"/>
        </w:rPr>
      </w:pPr>
      <w:r w:rsidRPr="00916246">
        <w:rPr>
          <w:rStyle w:val="Strong"/>
          <w:rFonts w:ascii="Cambria" w:hAnsi="Cambria" w:cs="Arial"/>
        </w:rPr>
        <w:t>New Section: Domestic Preferences for Procurement - 2 CFR 200.322</w:t>
      </w:r>
    </w:p>
    <w:p w14:paraId="601D8F89" w14:textId="77777777" w:rsidR="0062149E" w:rsidRPr="00916246" w:rsidRDefault="0062149E" w:rsidP="0062149E">
      <w:pPr>
        <w:pStyle w:val="NormalWeb"/>
        <w:shd w:val="clear" w:color="auto" w:fill="FFFFFF"/>
        <w:spacing w:before="0" w:beforeAutospacing="0" w:after="0" w:afterAutospacing="0"/>
        <w:rPr>
          <w:rFonts w:ascii="Cambria" w:hAnsi="Cambria" w:cs="Arial"/>
        </w:rPr>
      </w:pPr>
      <w:r w:rsidRPr="00916246">
        <w:rPr>
          <w:rFonts w:ascii="Cambria" w:hAnsi="Cambria" w:cs="Arial"/>
        </w:rPr>
        <w:t>This new section of the Uniform Guidance encourages Federal award recipients to maximize use of goods, products, and materials produced in the United States when procuring goods and services under Federal awards. This section applies to procurements under a grant or cooperative agreement.</w:t>
      </w:r>
    </w:p>
    <w:p w14:paraId="69186CCF" w14:textId="77777777" w:rsidR="0062149E" w:rsidRPr="00916246" w:rsidRDefault="0062149E" w:rsidP="0062149E">
      <w:pPr>
        <w:shd w:val="clear" w:color="auto" w:fill="FFFFFF"/>
        <w:spacing w:after="0" w:line="240" w:lineRule="auto"/>
        <w:rPr>
          <w:rFonts w:ascii="Cambria" w:eastAsia="Times New Roman" w:hAnsi="Cambria" w:cs="Arial"/>
          <w:b/>
          <w:bCs/>
          <w:sz w:val="24"/>
          <w:szCs w:val="24"/>
        </w:rPr>
      </w:pPr>
    </w:p>
    <w:p w14:paraId="69132C92" w14:textId="77777777" w:rsidR="0062149E" w:rsidRPr="00916246" w:rsidRDefault="0062149E" w:rsidP="0062149E">
      <w:p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b/>
          <w:bCs/>
          <w:sz w:val="24"/>
          <w:szCs w:val="24"/>
        </w:rPr>
        <w:t>New Section: Prohibition on Certain Telecommunications and Video Surveillance Services or Equipment - 2 CFR 200.216</w:t>
      </w:r>
    </w:p>
    <w:p w14:paraId="1FA1C20B" w14:textId="77777777" w:rsidR="0062149E" w:rsidRPr="00916246" w:rsidRDefault="0062149E" w:rsidP="0062149E">
      <w:p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sz w:val="24"/>
          <w:szCs w:val="24"/>
        </w:rPr>
        <w:t xml:space="preserve">This new section prohibits federal award recipients from using government funds to </w:t>
      </w:r>
      <w:proofErr w:type="gramStart"/>
      <w:r w:rsidRPr="00916246">
        <w:rPr>
          <w:rFonts w:ascii="Cambria" w:eastAsia="Times New Roman" w:hAnsi="Cambria" w:cs="Arial"/>
          <w:sz w:val="24"/>
          <w:szCs w:val="24"/>
        </w:rPr>
        <w:t>enter into</w:t>
      </w:r>
      <w:proofErr w:type="gramEnd"/>
      <w:r w:rsidRPr="00916246">
        <w:rPr>
          <w:rFonts w:ascii="Cambria" w:eastAsia="Times New Roman" w:hAnsi="Cambria" w:cs="Arial"/>
          <w:sz w:val="24"/>
          <w:szCs w:val="24"/>
        </w:rPr>
        <w:t xml:space="preserve"> contracts with entities that use covered communications telecommunications equipment or services. This prohibition applies even if the contract is not intended to procure or obtain, any equipment, system or service that uses covered telecommunications or services. The purpose of this section is public safety and contracting with certain entities is prohibited in connection with this section. This section became effective on August 13, 2020.</w:t>
      </w:r>
    </w:p>
    <w:p w14:paraId="1B9DF425" w14:textId="77777777" w:rsidR="0062149E" w:rsidRPr="00916246" w:rsidRDefault="0062149E" w:rsidP="0062149E">
      <w:pPr>
        <w:shd w:val="clear" w:color="auto" w:fill="FFFFFF"/>
        <w:spacing w:after="0" w:line="240" w:lineRule="auto"/>
        <w:rPr>
          <w:rFonts w:ascii="Cambria" w:eastAsia="Times New Roman" w:hAnsi="Cambria" w:cs="Arial"/>
          <w:b/>
          <w:bCs/>
          <w:sz w:val="24"/>
          <w:szCs w:val="24"/>
        </w:rPr>
      </w:pPr>
    </w:p>
    <w:p w14:paraId="751D8498"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7E10D4F7"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7BEA149B"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5EDAE044"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0F784532"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5F1A1CFA"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4D78AE89"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2AA4590B" w14:textId="77777777" w:rsidR="0062149E" w:rsidRDefault="0062149E" w:rsidP="0062149E">
      <w:pPr>
        <w:shd w:val="clear" w:color="auto" w:fill="FFFFFF"/>
        <w:spacing w:after="0" w:line="240" w:lineRule="auto"/>
        <w:rPr>
          <w:rFonts w:ascii="Cambria" w:eastAsia="Times New Roman" w:hAnsi="Cambria" w:cs="Arial"/>
          <w:b/>
          <w:bCs/>
          <w:sz w:val="24"/>
          <w:szCs w:val="24"/>
        </w:rPr>
      </w:pPr>
    </w:p>
    <w:p w14:paraId="15ABE23F" w14:textId="29CCA360" w:rsidR="0062149E" w:rsidRPr="00916246" w:rsidRDefault="0062149E" w:rsidP="0062149E">
      <w:p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b/>
          <w:bCs/>
          <w:sz w:val="24"/>
          <w:szCs w:val="24"/>
        </w:rPr>
        <w:t>Procurement: Threshold and Grouping Changes - 2 CFR 200.320</w:t>
      </w:r>
    </w:p>
    <w:p w14:paraId="7E134434" w14:textId="77777777" w:rsidR="0062149E" w:rsidRDefault="0062149E" w:rsidP="0062149E">
      <w:p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sz w:val="24"/>
          <w:szCs w:val="24"/>
        </w:rPr>
        <w:t>The following changes were made to the procurement section of the CFR and policies of non-federal entities should be consistent with these updates:</w:t>
      </w:r>
    </w:p>
    <w:p w14:paraId="442C7D5F" w14:textId="77777777" w:rsidR="0062149E" w:rsidRPr="00916246" w:rsidRDefault="0062149E" w:rsidP="0062149E">
      <w:pPr>
        <w:shd w:val="clear" w:color="auto" w:fill="FFFFFF"/>
        <w:spacing w:after="0" w:line="240" w:lineRule="auto"/>
        <w:rPr>
          <w:rFonts w:ascii="Cambria" w:eastAsia="Times New Roman" w:hAnsi="Cambria" w:cs="Arial"/>
          <w:sz w:val="24"/>
          <w:szCs w:val="24"/>
        </w:rPr>
      </w:pPr>
    </w:p>
    <w:p w14:paraId="79D2705D" w14:textId="77777777" w:rsidR="0062149E" w:rsidRPr="004850F2" w:rsidRDefault="0062149E" w:rsidP="0062149E">
      <w:pPr>
        <w:pStyle w:val="ListParagraph"/>
        <w:numPr>
          <w:ilvl w:val="0"/>
          <w:numId w:val="3"/>
        </w:numPr>
        <w:shd w:val="clear" w:color="auto" w:fill="FFFFFF"/>
        <w:spacing w:after="0" w:line="240" w:lineRule="auto"/>
        <w:rPr>
          <w:rFonts w:ascii="Cambria" w:eastAsia="Times New Roman" w:hAnsi="Cambria" w:cs="Arial"/>
          <w:sz w:val="24"/>
          <w:szCs w:val="24"/>
        </w:rPr>
      </w:pPr>
      <w:r w:rsidRPr="004850F2">
        <w:rPr>
          <w:rFonts w:ascii="Cambria" w:eastAsia="Times New Roman" w:hAnsi="Cambria" w:cs="Arial"/>
          <w:sz w:val="24"/>
          <w:szCs w:val="24"/>
        </w:rPr>
        <w:t>The procurement types were grouped into three categories: (1) Informal (micro-purchase, small purchase); (2) formal (sealed bids, proposals), and (3) Non-Competitive (sole source).</w:t>
      </w:r>
    </w:p>
    <w:p w14:paraId="192D8B3C" w14:textId="77777777" w:rsidR="0062149E" w:rsidRPr="00916246" w:rsidRDefault="0062149E" w:rsidP="0062149E">
      <w:pPr>
        <w:shd w:val="clear" w:color="auto" w:fill="FFFFFF"/>
        <w:spacing w:after="0" w:line="240" w:lineRule="auto"/>
        <w:rPr>
          <w:rFonts w:ascii="Cambria" w:eastAsia="Times New Roman" w:hAnsi="Cambria" w:cs="Arial"/>
          <w:sz w:val="24"/>
          <w:szCs w:val="24"/>
        </w:rPr>
      </w:pPr>
    </w:p>
    <w:p w14:paraId="0343428F" w14:textId="77777777" w:rsidR="0062149E" w:rsidRDefault="0062149E" w:rsidP="0062149E">
      <w:pPr>
        <w:pStyle w:val="ListParagraph"/>
        <w:numPr>
          <w:ilvl w:val="0"/>
          <w:numId w:val="2"/>
        </w:num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sz w:val="24"/>
          <w:szCs w:val="24"/>
        </w:rPr>
        <w:t>The micro-purchase threshold was raised from $3,500 to $10,000.</w:t>
      </w:r>
    </w:p>
    <w:p w14:paraId="465D1F8C" w14:textId="77777777" w:rsidR="0062149E" w:rsidRPr="00916246" w:rsidRDefault="0062149E" w:rsidP="0062149E">
      <w:pPr>
        <w:pStyle w:val="ListParagraph"/>
        <w:shd w:val="clear" w:color="auto" w:fill="FFFFFF"/>
        <w:spacing w:after="0" w:line="240" w:lineRule="auto"/>
        <w:rPr>
          <w:rFonts w:ascii="Cambria" w:eastAsia="Times New Roman" w:hAnsi="Cambria" w:cs="Arial"/>
          <w:sz w:val="16"/>
          <w:szCs w:val="16"/>
        </w:rPr>
      </w:pPr>
    </w:p>
    <w:p w14:paraId="7D900F28" w14:textId="77777777" w:rsidR="0062149E" w:rsidRDefault="0062149E" w:rsidP="0062149E">
      <w:pPr>
        <w:pStyle w:val="ListParagraph"/>
        <w:numPr>
          <w:ilvl w:val="0"/>
          <w:numId w:val="2"/>
        </w:num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sz w:val="24"/>
          <w:szCs w:val="24"/>
        </w:rPr>
        <w:t>All non-Federal entities are now authorized to request a micro-purchase threshold higher than $10,000 based on certain conditions that include a requirement to maintain records for thresholds up to $50,000 and a formal approval process by the Federal government for thresholds above $50,000.</w:t>
      </w:r>
    </w:p>
    <w:p w14:paraId="1AA26573" w14:textId="77777777" w:rsidR="0062149E" w:rsidRPr="00916246" w:rsidRDefault="0062149E" w:rsidP="0062149E">
      <w:pPr>
        <w:shd w:val="clear" w:color="auto" w:fill="FFFFFF"/>
        <w:spacing w:after="0" w:line="240" w:lineRule="auto"/>
        <w:rPr>
          <w:rFonts w:ascii="Cambria" w:eastAsia="Times New Roman" w:hAnsi="Cambria" w:cs="Arial"/>
          <w:sz w:val="16"/>
          <w:szCs w:val="16"/>
        </w:rPr>
      </w:pPr>
    </w:p>
    <w:p w14:paraId="631AA040" w14:textId="77777777" w:rsidR="0062149E" w:rsidRPr="00916246" w:rsidRDefault="0062149E" w:rsidP="0062149E">
      <w:pPr>
        <w:pStyle w:val="ListParagraph"/>
        <w:numPr>
          <w:ilvl w:val="0"/>
          <w:numId w:val="2"/>
        </w:num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sz w:val="24"/>
          <w:szCs w:val="24"/>
        </w:rPr>
        <w:t>The simplified acquisition threshold was raised from $150,000 to $250,000.</w:t>
      </w:r>
    </w:p>
    <w:p w14:paraId="0F82AF4A" w14:textId="77777777" w:rsidR="0062149E" w:rsidRPr="00916246" w:rsidRDefault="0062149E" w:rsidP="0062149E">
      <w:pPr>
        <w:shd w:val="clear" w:color="auto" w:fill="FFFFFF"/>
        <w:spacing w:after="0" w:line="240" w:lineRule="auto"/>
        <w:rPr>
          <w:rFonts w:ascii="Cambria" w:eastAsia="Times New Roman" w:hAnsi="Cambria" w:cs="Arial"/>
          <w:b/>
          <w:bCs/>
          <w:sz w:val="24"/>
          <w:szCs w:val="24"/>
        </w:rPr>
      </w:pPr>
    </w:p>
    <w:p w14:paraId="238B5CE9" w14:textId="77777777" w:rsidR="0062149E" w:rsidRPr="00916246" w:rsidRDefault="0062149E" w:rsidP="0062149E">
      <w:pPr>
        <w:shd w:val="clear" w:color="auto" w:fill="FFFFFF"/>
        <w:spacing w:after="0" w:line="240" w:lineRule="auto"/>
        <w:rPr>
          <w:rFonts w:ascii="Cambria" w:eastAsia="Times New Roman" w:hAnsi="Cambria" w:cs="Arial"/>
          <w:sz w:val="24"/>
          <w:szCs w:val="24"/>
        </w:rPr>
      </w:pPr>
      <w:r w:rsidRPr="00916246">
        <w:rPr>
          <w:rFonts w:ascii="Cambria" w:eastAsia="Times New Roman" w:hAnsi="Cambria" w:cs="Arial"/>
          <w:b/>
          <w:bCs/>
          <w:sz w:val="24"/>
          <w:szCs w:val="24"/>
        </w:rPr>
        <w:t>Requirements for Pass-Through Entities - 2 CFR 200.332</w:t>
      </w:r>
    </w:p>
    <w:p w14:paraId="347824DF" w14:textId="77777777" w:rsidR="0062149E" w:rsidRPr="00916246" w:rsidRDefault="0062149E" w:rsidP="0062149E">
      <w:pPr>
        <w:pStyle w:val="NormalWeb"/>
        <w:spacing w:before="0" w:beforeAutospacing="0" w:after="0" w:afterAutospacing="0"/>
        <w:rPr>
          <w:rFonts w:ascii="Cambria" w:hAnsi="Cambria" w:cs="Arial"/>
        </w:rPr>
      </w:pPr>
      <w:r w:rsidRPr="00916246">
        <w:rPr>
          <w:rFonts w:ascii="Cambria" w:hAnsi="Cambria" w:cs="Arial"/>
        </w:rPr>
        <w:t>This update clarifies that pass-through entities (PTE) are responsible for addressing only a subrecipient's audit findings that are specifically related to their subaward. In addition, the PTE may rely on the subrecipient's auditors and cognizant agency's oversight for routine audit follow-up and management decisions. These changes reduce the burden for PTEs by allowing a PTE to rely on the cognizant agency to address a subrecipient's entity-wide issues.</w:t>
      </w:r>
    </w:p>
    <w:p w14:paraId="002B4AC5" w14:textId="77777777" w:rsidR="0062149E" w:rsidRPr="00916246" w:rsidRDefault="0062149E" w:rsidP="0062149E">
      <w:pPr>
        <w:pStyle w:val="NormalWeb"/>
        <w:spacing w:before="0" w:beforeAutospacing="0" w:after="0" w:afterAutospacing="0"/>
        <w:rPr>
          <w:rStyle w:val="Strong"/>
          <w:rFonts w:ascii="Cambria" w:hAnsi="Cambria" w:cs="Arial"/>
        </w:rPr>
      </w:pPr>
    </w:p>
    <w:p w14:paraId="17E00D2F" w14:textId="77777777" w:rsidR="0062149E" w:rsidRPr="00916246" w:rsidRDefault="0062149E" w:rsidP="0062149E">
      <w:pPr>
        <w:pStyle w:val="NormalWeb"/>
        <w:spacing w:before="0" w:beforeAutospacing="0" w:after="0" w:afterAutospacing="0"/>
        <w:rPr>
          <w:rFonts w:ascii="Cambria" w:hAnsi="Cambria" w:cs="Arial"/>
        </w:rPr>
      </w:pPr>
      <w:r w:rsidRPr="00916246">
        <w:rPr>
          <w:rStyle w:val="Strong"/>
          <w:rFonts w:ascii="Cambria" w:hAnsi="Cambria" w:cs="Arial"/>
        </w:rPr>
        <w:t>Expanded Use of De Minimis Rate - 2 CFR 200.414</w:t>
      </w:r>
    </w:p>
    <w:p w14:paraId="6333C744" w14:textId="488EB25F" w:rsidR="0062149E" w:rsidRPr="0062149E" w:rsidRDefault="0062149E" w:rsidP="0062149E">
      <w:pPr>
        <w:pStyle w:val="NormalWeb"/>
        <w:spacing w:before="0" w:beforeAutospacing="0" w:after="0" w:afterAutospacing="0"/>
        <w:rPr>
          <w:rFonts w:ascii="Cambria" w:hAnsi="Cambria" w:cs="Arial"/>
        </w:rPr>
      </w:pPr>
      <w:r w:rsidRPr="00916246">
        <w:rPr>
          <w:rFonts w:ascii="Cambria" w:hAnsi="Cambria" w:cs="Arial"/>
        </w:rPr>
        <w:t>Currently, the de minimis rate can only be used for non-Federal entities that have never received a negotiated indirect cost rate. The revision to this section expands use of the de minimis rate to all non-federal agencies, with some exceptions. Another update clarifies that when a non-federal entity is using the de minimis rate for its federal grants, it is not required to provide proof of costs that are covered under that rate. Additionally, for transparency purposes, a new paragraph (h) to § 200.414, requires that negotiated agreements for indirect cost rates are to be collected and displayed on a public website.</w:t>
      </w:r>
    </w:p>
    <w:sectPr w:rsidR="0062149E" w:rsidRPr="0062149E" w:rsidSect="0048225A">
      <w:headerReference w:type="default" r:id="rId8"/>
      <w:footerReference w:type="default" r:id="rId9"/>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92CB" w14:textId="77777777" w:rsidR="00EF0E8B" w:rsidRDefault="00EF0E8B" w:rsidP="006A51DB">
      <w:pPr>
        <w:spacing w:after="0" w:line="240" w:lineRule="auto"/>
      </w:pPr>
      <w:r>
        <w:separator/>
      </w:r>
    </w:p>
  </w:endnote>
  <w:endnote w:type="continuationSeparator" w:id="0">
    <w:p w14:paraId="3678D282" w14:textId="77777777" w:rsidR="00EF0E8B" w:rsidRDefault="00EF0E8B" w:rsidP="006A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condo Swash Caps">
    <w:altName w:val="Calibri"/>
    <w:charset w:val="00"/>
    <w:family w:val="auto"/>
    <w:pitch w:val="variable"/>
    <w:sig w:usb0="0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0A7" w14:textId="14D3E5CC" w:rsidR="006E3B78" w:rsidRPr="0065018A" w:rsidRDefault="0048225A" w:rsidP="0048225A">
    <w:pPr>
      <w:pStyle w:val="Footer"/>
      <w:tabs>
        <w:tab w:val="clear" w:pos="4680"/>
        <w:tab w:val="clear" w:pos="9360"/>
        <w:tab w:val="left" w:pos="4245"/>
      </w:tabs>
    </w:pPr>
    <w:bookmarkStart w:id="0" w:name="_Hlk64552693"/>
    <w:bookmarkStart w:id="1" w:name="_Hlk64552694"/>
    <w:bookmarkStart w:id="2" w:name="_Hlk64552705"/>
    <w:bookmarkStart w:id="3" w:name="_Hlk64552706"/>
    <w:r>
      <w:rPr>
        <w:noProof/>
      </w:rPr>
      <mc:AlternateContent>
        <mc:Choice Requires="wps">
          <w:drawing>
            <wp:anchor distT="45720" distB="45720" distL="114300" distR="114300" simplePos="0" relativeHeight="251684864" behindDoc="0" locked="0" layoutInCell="1" allowOverlap="1" wp14:anchorId="75DC6970" wp14:editId="092ECA42">
              <wp:simplePos x="0" y="0"/>
              <wp:positionH relativeFrom="page">
                <wp:posOffset>6185535</wp:posOffset>
              </wp:positionH>
              <wp:positionV relativeFrom="page">
                <wp:posOffset>9644988</wp:posOffset>
              </wp:positionV>
              <wp:extent cx="1382395" cy="294640"/>
              <wp:effectExtent l="0" t="0" r="825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94640"/>
                      </a:xfrm>
                      <a:prstGeom prst="rect">
                        <a:avLst/>
                      </a:prstGeom>
                      <a:noFill/>
                      <a:ln w="9525">
                        <a:noFill/>
                        <a:miter lim="800000"/>
                        <a:headEnd/>
                        <a:tailEnd/>
                      </a:ln>
                    </wps:spPr>
                    <wps:txbx>
                      <w:txbxContent>
                        <w:p w14:paraId="3063CC91" w14:textId="77777777" w:rsidR="0048225A" w:rsidRPr="0048225A" w:rsidRDefault="0048225A" w:rsidP="0048225A">
                          <w:pPr>
                            <w:spacing w:after="0"/>
                            <w:jc w:val="right"/>
                            <w:rPr>
                              <w:rFonts w:ascii="Cambria" w:hAnsi="Cambria"/>
                              <w:sz w:val="18"/>
                              <w:szCs w:val="18"/>
                            </w:rPr>
                          </w:pPr>
                          <w:r w:rsidRPr="0048225A">
                            <w:rPr>
                              <w:rFonts w:ascii="Cambria" w:hAnsi="Cambria"/>
                              <w:sz w:val="18"/>
                              <w:szCs w:val="18"/>
                            </w:rPr>
                            <w:t xml:space="preserve">Page </w:t>
                          </w:r>
                          <w:r w:rsidRPr="0048225A">
                            <w:rPr>
                              <w:rFonts w:ascii="Cambria" w:hAnsi="Cambria"/>
                              <w:b/>
                              <w:bCs/>
                              <w:sz w:val="18"/>
                              <w:szCs w:val="18"/>
                            </w:rPr>
                            <w:fldChar w:fldCharType="begin"/>
                          </w:r>
                          <w:r w:rsidRPr="0048225A">
                            <w:rPr>
                              <w:rFonts w:ascii="Cambria" w:hAnsi="Cambria"/>
                              <w:b/>
                              <w:bCs/>
                              <w:sz w:val="18"/>
                              <w:szCs w:val="18"/>
                            </w:rPr>
                            <w:instrText xml:space="preserve"> PAGE  \* Arabic  \* MERGEFORMAT </w:instrText>
                          </w:r>
                          <w:r w:rsidRPr="0048225A">
                            <w:rPr>
                              <w:rFonts w:ascii="Cambria" w:hAnsi="Cambria"/>
                              <w:b/>
                              <w:bCs/>
                              <w:sz w:val="18"/>
                              <w:szCs w:val="18"/>
                            </w:rPr>
                            <w:fldChar w:fldCharType="separate"/>
                          </w:r>
                          <w:r w:rsidRPr="0048225A">
                            <w:rPr>
                              <w:rFonts w:ascii="Cambria" w:hAnsi="Cambria"/>
                              <w:b/>
                              <w:bCs/>
                              <w:noProof/>
                              <w:sz w:val="18"/>
                              <w:szCs w:val="18"/>
                            </w:rPr>
                            <w:t>1</w:t>
                          </w:r>
                          <w:r w:rsidRPr="0048225A">
                            <w:rPr>
                              <w:rFonts w:ascii="Cambria" w:hAnsi="Cambria"/>
                              <w:b/>
                              <w:bCs/>
                              <w:sz w:val="18"/>
                              <w:szCs w:val="18"/>
                            </w:rPr>
                            <w:fldChar w:fldCharType="end"/>
                          </w:r>
                          <w:r w:rsidRPr="0048225A">
                            <w:rPr>
                              <w:rFonts w:ascii="Cambria" w:hAnsi="Cambria"/>
                              <w:sz w:val="18"/>
                              <w:szCs w:val="18"/>
                            </w:rPr>
                            <w:t xml:space="preserve"> of </w:t>
                          </w:r>
                          <w:r w:rsidRPr="0048225A">
                            <w:rPr>
                              <w:rFonts w:ascii="Cambria" w:hAnsi="Cambria"/>
                              <w:b/>
                              <w:bCs/>
                              <w:sz w:val="18"/>
                              <w:szCs w:val="18"/>
                            </w:rPr>
                            <w:fldChar w:fldCharType="begin"/>
                          </w:r>
                          <w:r w:rsidRPr="0048225A">
                            <w:rPr>
                              <w:rFonts w:ascii="Cambria" w:hAnsi="Cambria"/>
                              <w:b/>
                              <w:bCs/>
                              <w:sz w:val="18"/>
                              <w:szCs w:val="18"/>
                            </w:rPr>
                            <w:instrText xml:space="preserve"> NUMPAGES  \* Arabic  \* MERGEFORMAT </w:instrText>
                          </w:r>
                          <w:r w:rsidRPr="0048225A">
                            <w:rPr>
                              <w:rFonts w:ascii="Cambria" w:hAnsi="Cambria"/>
                              <w:b/>
                              <w:bCs/>
                              <w:sz w:val="18"/>
                              <w:szCs w:val="18"/>
                            </w:rPr>
                            <w:fldChar w:fldCharType="separate"/>
                          </w:r>
                          <w:r w:rsidRPr="0048225A">
                            <w:rPr>
                              <w:rFonts w:ascii="Cambria" w:hAnsi="Cambria"/>
                              <w:b/>
                              <w:bCs/>
                              <w:noProof/>
                              <w:sz w:val="18"/>
                              <w:szCs w:val="18"/>
                            </w:rPr>
                            <w:t>2</w:t>
                          </w:r>
                          <w:r w:rsidRPr="0048225A">
                            <w:rPr>
                              <w:rFonts w:ascii="Cambria" w:hAnsi="Cambria"/>
                              <w:b/>
                              <w:bCs/>
                              <w:sz w:val="18"/>
                              <w:szCs w:val="18"/>
                            </w:rPr>
                            <w:fldChar w:fldCharType="end"/>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5DC6970" id="_x0000_t202" coordsize="21600,21600" o:spt="202" path="m,l,21600r21600,l21600,xe">
              <v:stroke joinstyle="miter"/>
              <v:path gradientshapeok="t" o:connecttype="rect"/>
            </v:shapetype>
            <v:shape id="Text Box 2" o:spid="_x0000_s1026" type="#_x0000_t202" style="position:absolute;margin-left:487.05pt;margin-top:759.45pt;width:108.85pt;height:23.2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" filled="f" stroked="f">
              <v:textbox inset="1mm,1mm,1mm,1mm">
                <w:txbxContent>
                  <w:p w14:paraId="3063CC91" w14:textId="77777777" w:rsidR="0048225A" w:rsidRPr="0048225A" w:rsidRDefault="0048225A" w:rsidP="0048225A">
                    <w:pPr>
                      <w:spacing w:after="0"/>
                      <w:jc w:val="right"/>
                      <w:rPr>
                        <w:rFonts w:ascii="Cambria" w:hAnsi="Cambria"/>
                        <w:sz w:val="18"/>
                        <w:szCs w:val="18"/>
                      </w:rPr>
                    </w:pPr>
                    <w:r w:rsidRPr="0048225A">
                      <w:rPr>
                        <w:rFonts w:ascii="Cambria" w:hAnsi="Cambria"/>
                        <w:sz w:val="18"/>
                        <w:szCs w:val="18"/>
                      </w:rPr>
                      <w:t xml:space="preserve">Page </w:t>
                    </w:r>
                    <w:r w:rsidRPr="0048225A">
                      <w:rPr>
                        <w:rFonts w:ascii="Cambria" w:hAnsi="Cambria"/>
                        <w:b/>
                        <w:bCs/>
                        <w:sz w:val="18"/>
                        <w:szCs w:val="18"/>
                      </w:rPr>
                      <w:fldChar w:fldCharType="begin"/>
                    </w:r>
                    <w:r w:rsidRPr="0048225A">
                      <w:rPr>
                        <w:rFonts w:ascii="Cambria" w:hAnsi="Cambria"/>
                        <w:b/>
                        <w:bCs/>
                        <w:sz w:val="18"/>
                        <w:szCs w:val="18"/>
                      </w:rPr>
                      <w:instrText xml:space="preserve"> PAGE  \* Arabic  \* MERGEFORMAT </w:instrText>
                    </w:r>
                    <w:r w:rsidRPr="0048225A">
                      <w:rPr>
                        <w:rFonts w:ascii="Cambria" w:hAnsi="Cambria"/>
                        <w:b/>
                        <w:bCs/>
                        <w:sz w:val="18"/>
                        <w:szCs w:val="18"/>
                      </w:rPr>
                      <w:fldChar w:fldCharType="separate"/>
                    </w:r>
                    <w:r w:rsidRPr="0048225A">
                      <w:rPr>
                        <w:rFonts w:ascii="Cambria" w:hAnsi="Cambria"/>
                        <w:b/>
                        <w:bCs/>
                        <w:noProof/>
                        <w:sz w:val="18"/>
                        <w:szCs w:val="18"/>
                      </w:rPr>
                      <w:t>1</w:t>
                    </w:r>
                    <w:r w:rsidRPr="0048225A">
                      <w:rPr>
                        <w:rFonts w:ascii="Cambria" w:hAnsi="Cambria"/>
                        <w:b/>
                        <w:bCs/>
                        <w:sz w:val="18"/>
                        <w:szCs w:val="18"/>
                      </w:rPr>
                      <w:fldChar w:fldCharType="end"/>
                    </w:r>
                    <w:r w:rsidRPr="0048225A">
                      <w:rPr>
                        <w:rFonts w:ascii="Cambria" w:hAnsi="Cambria"/>
                        <w:sz w:val="18"/>
                        <w:szCs w:val="18"/>
                      </w:rPr>
                      <w:t xml:space="preserve"> of </w:t>
                    </w:r>
                    <w:r w:rsidRPr="0048225A">
                      <w:rPr>
                        <w:rFonts w:ascii="Cambria" w:hAnsi="Cambria"/>
                        <w:b/>
                        <w:bCs/>
                        <w:sz w:val="18"/>
                        <w:szCs w:val="18"/>
                      </w:rPr>
                      <w:fldChar w:fldCharType="begin"/>
                    </w:r>
                    <w:r w:rsidRPr="0048225A">
                      <w:rPr>
                        <w:rFonts w:ascii="Cambria" w:hAnsi="Cambria"/>
                        <w:b/>
                        <w:bCs/>
                        <w:sz w:val="18"/>
                        <w:szCs w:val="18"/>
                      </w:rPr>
                      <w:instrText xml:space="preserve"> NUMPAGES  \* Arabic  \* MERGEFORMAT </w:instrText>
                    </w:r>
                    <w:r w:rsidRPr="0048225A">
                      <w:rPr>
                        <w:rFonts w:ascii="Cambria" w:hAnsi="Cambria"/>
                        <w:b/>
                        <w:bCs/>
                        <w:sz w:val="18"/>
                        <w:szCs w:val="18"/>
                      </w:rPr>
                      <w:fldChar w:fldCharType="separate"/>
                    </w:r>
                    <w:r w:rsidRPr="0048225A">
                      <w:rPr>
                        <w:rFonts w:ascii="Cambria" w:hAnsi="Cambria"/>
                        <w:b/>
                        <w:bCs/>
                        <w:noProof/>
                        <w:sz w:val="18"/>
                        <w:szCs w:val="18"/>
                      </w:rPr>
                      <w:t>2</w:t>
                    </w:r>
                    <w:r w:rsidRPr="0048225A">
                      <w:rPr>
                        <w:rFonts w:ascii="Cambria" w:hAnsi="Cambria"/>
                        <w:b/>
                        <w:bCs/>
                        <w:sz w:val="18"/>
                        <w:szCs w:val="18"/>
                      </w:rPr>
                      <w:fldChar w:fldCharType="end"/>
                    </w:r>
                  </w:p>
                </w:txbxContent>
              </v:textbox>
              <w10:wrap anchorx="page" anchory="page"/>
            </v:shape>
          </w:pict>
        </mc:Fallback>
      </mc:AlternateContent>
    </w:r>
    <w:bookmarkEnd w:id="0"/>
    <w:bookmarkEnd w:id="1"/>
    <w:bookmarkEnd w:id="2"/>
    <w:bookmarkEnd w:id="3"/>
    <w:r>
      <w:tab/>
    </w:r>
    <w:r>
      <w:rPr>
        <w:noProof/>
      </w:rPr>
      <w:drawing>
        <wp:inline distT="0" distB="0" distL="0" distR="0" wp14:anchorId="202376E3" wp14:editId="6A41D6A2">
          <wp:extent cx="5943600" cy="523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pic:spPr>
              </pic:pic>
            </a:graphicData>
          </a:graphic>
        </wp:inline>
      </w:drawing>
    </w:r>
  </w:p>
  <w:p w14:paraId="73F4AA18" w14:textId="38C9738A" w:rsidR="006E3B78" w:rsidRDefault="006E3B78" w:rsidP="00710ACA">
    <w:pPr>
      <w:pStyle w:val="Footer"/>
      <w:jc w:val="center"/>
    </w:pPr>
  </w:p>
  <w:p w14:paraId="6074C8CA" w14:textId="005C4E08" w:rsidR="006A51DB" w:rsidRPr="006A51DB" w:rsidRDefault="006A51DB">
    <w:pPr>
      <w:pStyle w:val="Footer"/>
      <w:rPr>
        <w:rFonts w:ascii="Macondo Swash Caps" w:hAnsi="Macondo Swash 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40FA" w14:textId="77777777" w:rsidR="00EF0E8B" w:rsidRDefault="00EF0E8B" w:rsidP="006A51DB">
      <w:pPr>
        <w:spacing w:after="0" w:line="240" w:lineRule="auto"/>
      </w:pPr>
      <w:r>
        <w:separator/>
      </w:r>
    </w:p>
  </w:footnote>
  <w:footnote w:type="continuationSeparator" w:id="0">
    <w:p w14:paraId="4C1DB64D" w14:textId="77777777" w:rsidR="00EF0E8B" w:rsidRDefault="00EF0E8B" w:rsidP="006A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49F2" w14:textId="4FFDD7AA" w:rsidR="006A51DB" w:rsidRDefault="0016675D" w:rsidP="0016675D">
    <w:pPr>
      <w:pStyle w:val="Header"/>
      <w:tabs>
        <w:tab w:val="clear" w:pos="4680"/>
        <w:tab w:val="clear" w:pos="9360"/>
        <w:tab w:val="left" w:pos="5304"/>
      </w:tabs>
    </w:pPr>
    <w:r>
      <w:rPr>
        <w:noProof/>
      </w:rPr>
      <mc:AlternateContent>
        <mc:Choice Requires="wps">
          <w:drawing>
            <wp:anchor distT="0" distB="0" distL="114300" distR="114300" simplePos="0" relativeHeight="251689984" behindDoc="0" locked="0" layoutInCell="1" allowOverlap="1" wp14:anchorId="584779FC" wp14:editId="4588A67D">
              <wp:simplePos x="0" y="0"/>
              <wp:positionH relativeFrom="column">
                <wp:posOffset>-666446</wp:posOffset>
              </wp:positionH>
              <wp:positionV relativeFrom="paragraph">
                <wp:posOffset>-22225</wp:posOffset>
              </wp:positionV>
              <wp:extent cx="119269" cy="10114059"/>
              <wp:effectExtent l="0" t="0" r="0" b="1905"/>
              <wp:wrapNone/>
              <wp:docPr id="3" name="Rectangle 3"/>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A4B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C8D1" id="Rectangle 3" o:spid="_x0000_s1026" style="position:absolute;margin-left:-52.5pt;margin-top:-1.75pt;width:9.4pt;height:79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" fillcolor="#a4b882" stroked="f" strokeweight="1pt"/>
          </w:pict>
        </mc:Fallback>
      </mc:AlternateContent>
    </w:r>
    <w:r>
      <w:rPr>
        <w:noProof/>
      </w:rPr>
      <mc:AlternateContent>
        <mc:Choice Requires="wps">
          <w:drawing>
            <wp:anchor distT="0" distB="0" distL="114300" distR="114300" simplePos="0" relativeHeight="251687936" behindDoc="0" locked="0" layoutInCell="1" allowOverlap="1" wp14:anchorId="25A99411" wp14:editId="6BCDC4A5">
              <wp:simplePos x="0" y="0"/>
              <wp:positionH relativeFrom="column">
                <wp:posOffset>-786461</wp:posOffset>
              </wp:positionH>
              <wp:positionV relativeFrom="paragraph">
                <wp:posOffset>-22860</wp:posOffset>
              </wp:positionV>
              <wp:extent cx="119269" cy="10114059"/>
              <wp:effectExtent l="0" t="0" r="0" b="1905"/>
              <wp:wrapNone/>
              <wp:docPr id="2" name="Rectangle 2"/>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2A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C0B4" id="Rectangle 2" o:spid="_x0000_s1026" style="position:absolute;margin-left:-61.95pt;margin-top:-1.8pt;width:9.4pt;height:7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" fillcolor="#2a5580" stroked="f" strokeweight="1pt"/>
          </w:pict>
        </mc:Fallback>
      </mc:AlternateContent>
    </w:r>
    <w:r>
      <w:rPr>
        <w:noProof/>
      </w:rPr>
      <mc:AlternateContent>
        <mc:Choice Requires="wps">
          <w:drawing>
            <wp:anchor distT="0" distB="0" distL="114300" distR="114300" simplePos="0" relativeHeight="251685888" behindDoc="0" locked="0" layoutInCell="1" allowOverlap="1" wp14:anchorId="57AF2021" wp14:editId="72544A5B">
              <wp:simplePos x="0" y="0"/>
              <wp:positionH relativeFrom="column">
                <wp:posOffset>-906476</wp:posOffset>
              </wp:positionH>
              <wp:positionV relativeFrom="paragraph">
                <wp:posOffset>-39370</wp:posOffset>
              </wp:positionV>
              <wp:extent cx="119269" cy="10114059"/>
              <wp:effectExtent l="0" t="0" r="0" b="1905"/>
              <wp:wrapNone/>
              <wp:docPr id="1" name="Rectangle 1"/>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102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3E5A" id="Rectangle 1" o:spid="_x0000_s1026" style="position:absolute;margin-left:-71.4pt;margin-top:-3.1pt;width:9.4pt;height:79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" fillcolor="#10253f" stroked="f" strokeweight="1pt"/>
          </w:pict>
        </mc:Fallback>
      </mc:AlternateContent>
    </w:r>
    <w:r w:rsidR="006A51DB">
      <w:tab/>
    </w:r>
  </w:p>
  <w:p w14:paraId="0190B6C3" w14:textId="6D94C323" w:rsidR="006A51DB" w:rsidRDefault="00E9755F" w:rsidP="00147B36">
    <w:pPr>
      <w:pStyle w:val="Header"/>
      <w:tabs>
        <w:tab w:val="clear" w:pos="4680"/>
        <w:tab w:val="left" w:pos="8385"/>
      </w:tabs>
    </w:pPr>
    <w:r>
      <w:rPr>
        <w:noProof/>
      </w:rPr>
      <w:drawing>
        <wp:anchor distT="0" distB="0" distL="114300" distR="114300" simplePos="0" relativeHeight="251680768" behindDoc="1" locked="0" layoutInCell="1" allowOverlap="1" wp14:anchorId="1F47DD96" wp14:editId="5372F0F4">
          <wp:simplePos x="0" y="0"/>
          <wp:positionH relativeFrom="column">
            <wp:posOffset>4785360</wp:posOffset>
          </wp:positionH>
          <wp:positionV relativeFrom="paragraph">
            <wp:posOffset>4445</wp:posOffset>
          </wp:positionV>
          <wp:extent cx="1866900" cy="746760"/>
          <wp:effectExtent l="0" t="0" r="0" b="0"/>
          <wp:wrapNone/>
          <wp:docPr id="38" name="Picture 3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p>
  <w:p w14:paraId="27C01542" w14:textId="77777777" w:rsidR="006A51DB" w:rsidRDefault="006A51DB" w:rsidP="001E6392">
    <w:pPr>
      <w:pStyle w:val="Header"/>
      <w:tabs>
        <w:tab w:val="clear" w:pos="4680"/>
        <w:tab w:val="clear" w:pos="9360"/>
        <w:tab w:val="left" w:pos="7125"/>
      </w:tabs>
    </w:pPr>
  </w:p>
  <w:p w14:paraId="0EFC4438" w14:textId="77777777" w:rsidR="006A51DB" w:rsidRDefault="006A51DB">
    <w:pPr>
      <w:pStyle w:val="Header"/>
    </w:pPr>
  </w:p>
  <w:p w14:paraId="7ED1E302" w14:textId="77777777" w:rsidR="006A51DB" w:rsidRDefault="006A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FC1"/>
    <w:multiLevelType w:val="hybridMultilevel"/>
    <w:tmpl w:val="7254962C"/>
    <w:lvl w:ilvl="0" w:tplc="D7D49E32">
      <w:numFmt w:val="bullet"/>
      <w:lvlText w:val=""/>
      <w:lvlJc w:val="left"/>
      <w:pPr>
        <w:ind w:left="723" w:hanging="360"/>
      </w:pPr>
      <w:rPr>
        <w:rFonts w:ascii="Symbol" w:eastAsia="Calibri" w:hAnsi="Symbol" w:cs="Calibri"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 w15:restartNumberingAfterBreak="0">
    <w:nsid w:val="16E92FD4"/>
    <w:multiLevelType w:val="hybridMultilevel"/>
    <w:tmpl w:val="4E4E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05FC9"/>
    <w:multiLevelType w:val="hybridMultilevel"/>
    <w:tmpl w:val="EEF2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44"/>
    <w:rsid w:val="000363D2"/>
    <w:rsid w:val="0016675D"/>
    <w:rsid w:val="001A568D"/>
    <w:rsid w:val="001C7473"/>
    <w:rsid w:val="001E0EDF"/>
    <w:rsid w:val="00260844"/>
    <w:rsid w:val="00261E47"/>
    <w:rsid w:val="00284DF8"/>
    <w:rsid w:val="00291482"/>
    <w:rsid w:val="002E5344"/>
    <w:rsid w:val="00310F84"/>
    <w:rsid w:val="00315EB0"/>
    <w:rsid w:val="00352CB3"/>
    <w:rsid w:val="00374071"/>
    <w:rsid w:val="00445258"/>
    <w:rsid w:val="00460D16"/>
    <w:rsid w:val="0048225A"/>
    <w:rsid w:val="004E4C75"/>
    <w:rsid w:val="00510E00"/>
    <w:rsid w:val="00533211"/>
    <w:rsid w:val="0053398C"/>
    <w:rsid w:val="00582982"/>
    <w:rsid w:val="005A788D"/>
    <w:rsid w:val="005C0DDF"/>
    <w:rsid w:val="005C6F9F"/>
    <w:rsid w:val="005F52A5"/>
    <w:rsid w:val="0062149E"/>
    <w:rsid w:val="006A51DB"/>
    <w:rsid w:val="006E3B78"/>
    <w:rsid w:val="00731103"/>
    <w:rsid w:val="00796358"/>
    <w:rsid w:val="007A4901"/>
    <w:rsid w:val="007E34E6"/>
    <w:rsid w:val="00822C87"/>
    <w:rsid w:val="008576D1"/>
    <w:rsid w:val="0088686E"/>
    <w:rsid w:val="008E4A30"/>
    <w:rsid w:val="00951D8C"/>
    <w:rsid w:val="00AB1BC8"/>
    <w:rsid w:val="00B001E2"/>
    <w:rsid w:val="00B218E0"/>
    <w:rsid w:val="00B70CB5"/>
    <w:rsid w:val="00BB2104"/>
    <w:rsid w:val="00BB2B9B"/>
    <w:rsid w:val="00C237F4"/>
    <w:rsid w:val="00C55E28"/>
    <w:rsid w:val="00C65385"/>
    <w:rsid w:val="00C67A7C"/>
    <w:rsid w:val="00C802A0"/>
    <w:rsid w:val="00D25087"/>
    <w:rsid w:val="00D420F4"/>
    <w:rsid w:val="00E20AF1"/>
    <w:rsid w:val="00E9755F"/>
    <w:rsid w:val="00EE12C4"/>
    <w:rsid w:val="00EF0E8B"/>
    <w:rsid w:val="00EF618B"/>
    <w:rsid w:val="00FF7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2C448E"/>
  <w14:defaultImageDpi w14:val="32767"/>
  <w15:chartTrackingRefBased/>
  <w15:docId w15:val="{B379F19B-906D-4E2E-B7C0-850B86BA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C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1D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6A51DB"/>
  </w:style>
  <w:style w:type="paragraph" w:styleId="Footer">
    <w:name w:val="footer"/>
    <w:basedOn w:val="Normal"/>
    <w:link w:val="FooterChar"/>
    <w:unhideWhenUsed/>
    <w:rsid w:val="006A51DB"/>
    <w:pPr>
      <w:tabs>
        <w:tab w:val="center" w:pos="4680"/>
        <w:tab w:val="right" w:pos="9360"/>
      </w:tabs>
      <w:spacing w:after="0" w:line="240" w:lineRule="auto"/>
    </w:pPr>
    <w:rPr>
      <w:lang w:val="en-CA"/>
    </w:rPr>
  </w:style>
  <w:style w:type="character" w:customStyle="1" w:styleId="FooterChar">
    <w:name w:val="Footer Char"/>
    <w:basedOn w:val="DefaultParagraphFont"/>
    <w:link w:val="Footer"/>
    <w:rsid w:val="006A51DB"/>
  </w:style>
  <w:style w:type="paragraph" w:styleId="Title">
    <w:name w:val="Title"/>
    <w:basedOn w:val="Normal"/>
    <w:link w:val="TitleChar"/>
    <w:qFormat/>
    <w:rsid w:val="00EE12C4"/>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EE12C4"/>
    <w:rPr>
      <w:rFonts w:ascii="Times New Roman" w:eastAsia="Times New Roman" w:hAnsi="Times New Roman" w:cs="Times New Roman"/>
      <w:b/>
      <w:bCs/>
      <w:sz w:val="32"/>
      <w:szCs w:val="24"/>
      <w:u w:val="single"/>
      <w:lang w:val="en-US"/>
    </w:rPr>
  </w:style>
  <w:style w:type="character" w:styleId="CommentReference">
    <w:name w:val="annotation reference"/>
    <w:basedOn w:val="DefaultParagraphFont"/>
    <w:uiPriority w:val="99"/>
    <w:semiHidden/>
    <w:unhideWhenUsed/>
    <w:rsid w:val="00C67A7C"/>
    <w:rPr>
      <w:sz w:val="16"/>
      <w:szCs w:val="16"/>
    </w:rPr>
  </w:style>
  <w:style w:type="paragraph" w:styleId="CommentText">
    <w:name w:val="annotation text"/>
    <w:basedOn w:val="Normal"/>
    <w:link w:val="CommentTextChar"/>
    <w:uiPriority w:val="99"/>
    <w:semiHidden/>
    <w:unhideWhenUsed/>
    <w:rsid w:val="00C67A7C"/>
    <w:pPr>
      <w:spacing w:line="240" w:lineRule="auto"/>
    </w:pPr>
    <w:rPr>
      <w:sz w:val="20"/>
      <w:szCs w:val="20"/>
    </w:rPr>
  </w:style>
  <w:style w:type="character" w:customStyle="1" w:styleId="CommentTextChar">
    <w:name w:val="Comment Text Char"/>
    <w:basedOn w:val="DefaultParagraphFont"/>
    <w:link w:val="CommentText"/>
    <w:uiPriority w:val="99"/>
    <w:semiHidden/>
    <w:rsid w:val="00C67A7C"/>
    <w:rPr>
      <w:sz w:val="20"/>
      <w:szCs w:val="20"/>
      <w:lang w:val="en-US"/>
    </w:rPr>
  </w:style>
  <w:style w:type="paragraph" w:styleId="CommentSubject">
    <w:name w:val="annotation subject"/>
    <w:basedOn w:val="CommentText"/>
    <w:next w:val="CommentText"/>
    <w:link w:val="CommentSubjectChar"/>
    <w:uiPriority w:val="99"/>
    <w:semiHidden/>
    <w:unhideWhenUsed/>
    <w:rsid w:val="00C67A7C"/>
    <w:rPr>
      <w:b/>
      <w:bCs/>
    </w:rPr>
  </w:style>
  <w:style w:type="character" w:customStyle="1" w:styleId="CommentSubjectChar">
    <w:name w:val="Comment Subject Char"/>
    <w:basedOn w:val="CommentTextChar"/>
    <w:link w:val="CommentSubject"/>
    <w:uiPriority w:val="99"/>
    <w:semiHidden/>
    <w:rsid w:val="00C67A7C"/>
    <w:rPr>
      <w:b/>
      <w:bCs/>
      <w:sz w:val="20"/>
      <w:szCs w:val="20"/>
      <w:lang w:val="en-US"/>
    </w:rPr>
  </w:style>
  <w:style w:type="paragraph" w:styleId="ListParagraph">
    <w:name w:val="List Paragraph"/>
    <w:basedOn w:val="Normal"/>
    <w:uiPriority w:val="34"/>
    <w:qFormat/>
    <w:rsid w:val="00796358"/>
    <w:pPr>
      <w:ind w:left="720"/>
      <w:contextualSpacing/>
    </w:pPr>
  </w:style>
  <w:style w:type="character" w:styleId="Hyperlink">
    <w:name w:val="Hyperlink"/>
    <w:basedOn w:val="DefaultParagraphFont"/>
    <w:uiPriority w:val="99"/>
    <w:unhideWhenUsed/>
    <w:rsid w:val="00352CB3"/>
    <w:rPr>
      <w:color w:val="0563C1" w:themeColor="hyperlink"/>
      <w:u w:val="single"/>
    </w:rPr>
  </w:style>
  <w:style w:type="character" w:styleId="UnresolvedMention">
    <w:name w:val="Unresolved Mention"/>
    <w:basedOn w:val="DefaultParagraphFont"/>
    <w:uiPriority w:val="99"/>
    <w:semiHidden/>
    <w:unhideWhenUsed/>
    <w:rsid w:val="00352CB3"/>
    <w:rPr>
      <w:color w:val="605E5C"/>
      <w:shd w:val="clear" w:color="auto" w:fill="E1DFDD"/>
    </w:rPr>
  </w:style>
  <w:style w:type="paragraph" w:styleId="NormalWeb">
    <w:name w:val="Normal (Web)"/>
    <w:basedOn w:val="Normal"/>
    <w:uiPriority w:val="99"/>
    <w:unhideWhenUsed/>
    <w:rsid w:val="00621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cuments\PROFESSIONAL\Vander%20Weele%20Group\EITAM\EITAM%20letters%20to%20update%20as%20of%20March%2015\Scheduling%20Confirmation%20Letter%20Revised%20March%2015.%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4DD-758D-4C42-96A2-A8537B3D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Scheduling Confirmation Letter Revised March 15. 2021</Template>
  <TotalTime>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Jillian Helding</cp:lastModifiedBy>
  <cp:revision>3</cp:revision>
  <dcterms:created xsi:type="dcterms:W3CDTF">2021-11-23T19:36:00Z</dcterms:created>
  <dcterms:modified xsi:type="dcterms:W3CDTF">2021-11-23T19:38:00Z</dcterms:modified>
</cp:coreProperties>
</file>