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hAnsi="Cambria"/>
          <w:b/>
          <w:bCs/>
          <w:noProof/>
          <w:sz w:val="32"/>
          <w:szCs w:val="32"/>
        </w:rPr>
        <w:id w:val="1558278964"/>
        <w:docPartObj>
          <w:docPartGallery w:val="Cover Pages"/>
          <w:docPartUnique/>
        </w:docPartObj>
      </w:sdtPr>
      <w:sdtEndPr/>
      <w:sdtContent>
        <w:p w14:paraId="19941141" w14:textId="163502A1" w:rsidR="005D5C53" w:rsidRDefault="001B173E">
          <w:pPr>
            <w:spacing w:after="160" w:line="259" w:lineRule="auto"/>
            <w:rPr>
              <w:rFonts w:ascii="Cambria" w:hAnsi="Cambria"/>
              <w:b/>
              <w:bCs/>
              <w:noProof/>
              <w:sz w:val="32"/>
              <w:szCs w:val="32"/>
            </w:rPr>
          </w:pPr>
          <w:r w:rsidRPr="001B173E">
            <w:rPr>
              <w:rFonts w:ascii="Calibri" w:eastAsia="Calibri" w:hAnsi="Calibri" w:cs="Times New Roman"/>
              <w:noProof/>
            </w:rPr>
            <mc:AlternateContent>
              <mc:Choice Requires="wps">
                <w:drawing>
                  <wp:anchor distT="45720" distB="45720" distL="114300" distR="114300" simplePos="0" relativeHeight="251663360" behindDoc="0" locked="0" layoutInCell="1" allowOverlap="1" wp14:anchorId="0425553D" wp14:editId="23753E63">
                    <wp:simplePos x="0" y="0"/>
                    <wp:positionH relativeFrom="column">
                      <wp:posOffset>71120</wp:posOffset>
                    </wp:positionH>
                    <wp:positionV relativeFrom="paragraph">
                      <wp:posOffset>3496945</wp:posOffset>
                    </wp:positionV>
                    <wp:extent cx="5743575" cy="728980"/>
                    <wp:effectExtent l="0" t="0" r="9525"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28980"/>
                            </a:xfrm>
                            <a:prstGeom prst="rect">
                              <a:avLst/>
                            </a:prstGeom>
                            <a:solidFill>
                              <a:srgbClr val="FFFFFF"/>
                            </a:solidFill>
                            <a:ln w="9525">
                              <a:noFill/>
                              <a:miter lim="800000"/>
                              <a:headEnd/>
                              <a:tailEnd/>
                            </a:ln>
                          </wps:spPr>
                          <wps:txbx>
                            <w:txbxContent>
                              <w:p w14:paraId="191E5CF7" w14:textId="1F17977A" w:rsidR="001B173E" w:rsidRDefault="0022578D" w:rsidP="001B173E">
                                <w:pPr>
                                  <w:jc w:val="center"/>
                                  <w:rPr>
                                    <w:color w:val="A9D08E"/>
                                    <w:sz w:val="56"/>
                                    <w:szCs w:val="56"/>
                                  </w:rPr>
                                </w:pPr>
                                <w:r>
                                  <w:rPr>
                                    <w:color w:val="A9D08E"/>
                                    <w:sz w:val="56"/>
                                    <w:szCs w:val="56"/>
                                  </w:rPr>
                                  <w:t>Procurement Regulations</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5553D" id="_x0000_t202" coordsize="21600,21600" o:spt="202" path="m,l,21600r21600,l21600,xe">
                    <v:stroke joinstyle="miter"/>
                    <v:path gradientshapeok="t" o:connecttype="rect"/>
                  </v:shapetype>
                  <v:shape id="Text Box 53" o:spid="_x0000_s1026" type="#_x0000_t202" style="position:absolute;margin-left:5.6pt;margin-top:275.35pt;width:452.25pt;height:57.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" stroked="f">
                    <v:textbox style="mso-fit-shape-to-text:t">
                      <w:txbxContent>
                        <w:p w14:paraId="191E5CF7" w14:textId="1F17977A" w:rsidR="001B173E" w:rsidRDefault="0022578D" w:rsidP="001B173E">
                          <w:pPr>
                            <w:jc w:val="center"/>
                            <w:rPr>
                              <w:color w:val="A9D08E"/>
                              <w:sz w:val="56"/>
                              <w:szCs w:val="56"/>
                            </w:rPr>
                          </w:pPr>
                          <w:r>
                            <w:rPr>
                              <w:color w:val="A9D08E"/>
                              <w:sz w:val="56"/>
                              <w:szCs w:val="56"/>
                            </w:rPr>
                            <w:t>Procurement Regulations</w:t>
                          </w:r>
                        </w:p>
                      </w:txbxContent>
                    </v:textbox>
                    <w10:wrap type="square"/>
                  </v:shape>
                </w:pict>
              </mc:Fallback>
            </mc:AlternateContent>
          </w:r>
          <w:r w:rsidRPr="001B173E">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6B1AC1E1" wp14:editId="3D85A91A">
                    <wp:simplePos x="0" y="0"/>
                    <wp:positionH relativeFrom="column">
                      <wp:posOffset>142875</wp:posOffset>
                    </wp:positionH>
                    <wp:positionV relativeFrom="paragraph">
                      <wp:posOffset>3402330</wp:posOffset>
                    </wp:positionV>
                    <wp:extent cx="5457825" cy="0"/>
                    <wp:effectExtent l="0" t="0" r="0" b="0"/>
                    <wp:wrapNone/>
                    <wp:docPr id="54" name="Straight Connector 14"/>
                    <wp:cNvGraphicFramePr/>
                    <a:graphic xmlns:a="http://schemas.openxmlformats.org/drawingml/2006/main">
                      <a:graphicData uri="http://schemas.microsoft.com/office/word/2010/wordprocessingShape">
                        <wps:wsp>
                          <wps:cNvCnPr/>
                          <wps:spPr>
                            <a:xfrm>
                              <a:off x="0" y="0"/>
                              <a:ext cx="54578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461EE8"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7.9pt" to="441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" strokecolor="#4472c4" strokeweight=".5pt">
                    <v:stroke joinstyle="miter"/>
                  </v:line>
                </w:pict>
              </mc:Fallback>
            </mc:AlternateContent>
          </w:r>
          <w:r w:rsidRPr="001B173E">
            <w:rPr>
              <w:rFonts w:ascii="Times New Roman" w:eastAsia="Calibri" w:hAnsi="Times New Roman" w:cs="Times New Roman"/>
              <w:noProof/>
              <w:sz w:val="24"/>
              <w:szCs w:val="24"/>
            </w:rPr>
            <mc:AlternateContent>
              <mc:Choice Requires="wps">
                <w:drawing>
                  <wp:anchor distT="45720" distB="45720" distL="114300" distR="114300" simplePos="0" relativeHeight="251662336" behindDoc="0" locked="0" layoutInCell="1" allowOverlap="1" wp14:anchorId="657431D0" wp14:editId="7D7CA489">
                    <wp:simplePos x="0" y="0"/>
                    <wp:positionH relativeFrom="column">
                      <wp:posOffset>24765</wp:posOffset>
                    </wp:positionH>
                    <wp:positionV relativeFrom="paragraph">
                      <wp:posOffset>2656840</wp:posOffset>
                    </wp:positionV>
                    <wp:extent cx="5743575" cy="1355090"/>
                    <wp:effectExtent l="0" t="0" r="9525"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55090"/>
                            </a:xfrm>
                            <a:prstGeom prst="rect">
                              <a:avLst/>
                            </a:prstGeom>
                            <a:solidFill>
                              <a:srgbClr val="FFFFFF"/>
                            </a:solidFill>
                            <a:ln w="9525">
                              <a:noFill/>
                              <a:miter lim="800000"/>
                              <a:headEnd/>
                              <a:tailEnd/>
                            </a:ln>
                          </wps:spPr>
                          <wps:txbx>
                            <w:txbxContent>
                              <w:p w14:paraId="2200F0B0" w14:textId="3A6E56D3" w:rsidR="001B173E" w:rsidRDefault="001B173E" w:rsidP="001B173E">
                                <w:pPr>
                                  <w:spacing w:line="240" w:lineRule="auto"/>
                                  <w:contextualSpacing/>
                                  <w:jc w:val="center"/>
                                  <w:rPr>
                                    <w:color w:val="1F3864" w:themeColor="accent1" w:themeShade="80"/>
                                    <w:sz w:val="72"/>
                                    <w:szCs w:val="72"/>
                                  </w:rPr>
                                </w:pPr>
                                <w:r>
                                  <w:rPr>
                                    <w:color w:val="1F3864" w:themeColor="accent1" w:themeShade="80"/>
                                    <w:sz w:val="72"/>
                                    <w:szCs w:val="72"/>
                                  </w:rPr>
                                  <w:t>The Uniform Guidance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431D0" id="Text Box 2" o:spid="_x0000_s1027" type="#_x0000_t202" style="position:absolute;margin-left:1.95pt;margin-top:209.2pt;width:452.25pt;height:106.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" stroked="f">
                    <v:textbox style="mso-fit-shape-to-text:t">
                      <w:txbxContent>
                        <w:p w14:paraId="2200F0B0" w14:textId="3A6E56D3" w:rsidR="001B173E" w:rsidRDefault="001B173E" w:rsidP="001B173E">
                          <w:pPr>
                            <w:spacing w:line="240" w:lineRule="auto"/>
                            <w:contextualSpacing/>
                            <w:jc w:val="center"/>
                            <w:rPr>
                              <w:color w:val="1F3864" w:themeColor="accent1" w:themeShade="80"/>
                              <w:sz w:val="72"/>
                              <w:szCs w:val="72"/>
                            </w:rPr>
                          </w:pPr>
                          <w:r>
                            <w:rPr>
                              <w:color w:val="1F3864" w:themeColor="accent1" w:themeShade="80"/>
                              <w:sz w:val="72"/>
                              <w:szCs w:val="72"/>
                            </w:rPr>
                            <w:t>The Uniform Guidance</w:t>
                          </w:r>
                        </w:p>
                      </w:txbxContent>
                    </v:textbox>
                    <w10:wrap type="square"/>
                  </v:shape>
                </w:pict>
              </mc:Fallback>
            </mc:AlternateContent>
          </w:r>
          <w:r w:rsidR="005D5C53">
            <w:rPr>
              <w:rFonts w:ascii="Cambria" w:hAnsi="Cambria"/>
              <w:b/>
              <w:bCs/>
              <w:noProof/>
              <w:sz w:val="32"/>
              <w:szCs w:val="32"/>
            </w:rPr>
            <w:br w:type="page"/>
          </w:r>
        </w:p>
      </w:sdtContent>
    </w:sdt>
    <w:p w14:paraId="68A24168" w14:textId="394E809C" w:rsidR="00252224" w:rsidRDefault="00252224" w:rsidP="00252224">
      <w:pPr>
        <w:pStyle w:val="TOC1"/>
      </w:pPr>
    </w:p>
    <w:p w14:paraId="1FBBCAE5" w14:textId="499815D1" w:rsidR="00A86470" w:rsidRDefault="00A86470" w:rsidP="00247033">
      <w:pPr>
        <w:spacing w:after="160" w:line="240" w:lineRule="auto"/>
        <w:contextualSpacing/>
        <w:jc w:val="center"/>
        <w:rPr>
          <w:rFonts w:ascii="Cambria" w:hAnsi="Cambria"/>
          <w:b/>
          <w:bCs/>
          <w:color w:val="2F5496" w:themeColor="accent1" w:themeShade="BF"/>
          <w:sz w:val="48"/>
          <w:szCs w:val="48"/>
        </w:rPr>
      </w:pPr>
      <w:r>
        <w:rPr>
          <w:rFonts w:ascii="Cambria" w:hAnsi="Cambria"/>
          <w:b/>
          <w:bCs/>
          <w:color w:val="2F5496" w:themeColor="accent1" w:themeShade="BF"/>
          <w:sz w:val="48"/>
          <w:szCs w:val="48"/>
        </w:rPr>
        <w:t>What the Uniform Guidance Says</w:t>
      </w:r>
    </w:p>
    <w:p w14:paraId="67E29A91" w14:textId="120D3520" w:rsidR="00482CAA" w:rsidRPr="00EC71F4" w:rsidRDefault="00A86470" w:rsidP="00247033">
      <w:pPr>
        <w:spacing w:after="160" w:line="240" w:lineRule="auto"/>
        <w:contextualSpacing/>
        <w:jc w:val="center"/>
        <w:rPr>
          <w:rFonts w:ascii="Cambria" w:hAnsi="Cambria"/>
          <w:b/>
          <w:bCs/>
          <w:color w:val="2F5496" w:themeColor="accent1" w:themeShade="BF"/>
          <w:sz w:val="48"/>
          <w:szCs w:val="48"/>
        </w:rPr>
      </w:pPr>
      <w:r>
        <w:rPr>
          <w:rFonts w:ascii="Cambria" w:hAnsi="Cambria"/>
          <w:b/>
          <w:bCs/>
          <w:color w:val="2F5496" w:themeColor="accent1" w:themeShade="BF"/>
          <w:sz w:val="48"/>
          <w:szCs w:val="48"/>
        </w:rPr>
        <w:t>about Procurement</w:t>
      </w:r>
    </w:p>
    <w:p w14:paraId="4519F102" w14:textId="77777777" w:rsidR="00616ECC" w:rsidRPr="00616ECC" w:rsidRDefault="00616ECC" w:rsidP="00616ECC">
      <w:pPr>
        <w:spacing w:after="0" w:line="240" w:lineRule="auto"/>
        <w:jc w:val="center"/>
        <w:textAlignment w:val="baseline"/>
        <w:outlineLvl w:val="0"/>
        <w:rPr>
          <w:rFonts w:ascii="Cambria" w:eastAsia="Times New Roman" w:hAnsi="Cambria" w:cs="Arial"/>
          <w:b/>
          <w:bCs/>
          <w:color w:val="2F5496" w:themeColor="accent1" w:themeShade="BF"/>
          <w:kern w:val="36"/>
          <w:sz w:val="48"/>
          <w:szCs w:val="48"/>
          <w:bdr w:val="none" w:sz="0" w:space="0" w:color="auto" w:frame="1"/>
        </w:rPr>
      </w:pPr>
    </w:p>
    <w:p w14:paraId="6BB27625" w14:textId="71FE9098" w:rsidR="000A5FA7" w:rsidRDefault="00A86470" w:rsidP="008E4515">
      <w:pPr>
        <w:rPr>
          <w:rFonts w:ascii="Cambria" w:hAnsi="Cambria"/>
          <w:b/>
          <w:bCs/>
          <w:sz w:val="32"/>
          <w:szCs w:val="32"/>
        </w:rPr>
      </w:pPr>
      <w:r>
        <w:rPr>
          <w:rFonts w:ascii="Cambria" w:hAnsi="Cambria"/>
          <w:b/>
          <w:bCs/>
          <w:sz w:val="32"/>
          <w:szCs w:val="32"/>
        </w:rPr>
        <w:t>General Procurement Standards</w:t>
      </w:r>
    </w:p>
    <w:p w14:paraId="4BC303B3" w14:textId="34C95B83" w:rsidR="000A5FA7" w:rsidRDefault="00A86470" w:rsidP="000A5FA7">
      <w:pPr>
        <w:rPr>
          <w:rFonts w:ascii="Cambria" w:hAnsi="Cambria"/>
        </w:rPr>
      </w:pPr>
      <w:r w:rsidRPr="00042ACE">
        <w:rPr>
          <w:rFonts w:ascii="Cambria" w:hAnsi="Cambria"/>
          <w:b/>
          <w:bCs/>
        </w:rPr>
        <w:t>The non-Federal entity must have and use documented procurement procedures,</w:t>
      </w:r>
      <w:r w:rsidRPr="00A86470">
        <w:rPr>
          <w:rFonts w:ascii="Cambria" w:hAnsi="Cambria"/>
        </w:rPr>
        <w:t xml:space="preserve">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 200.317 through 200.327.</w:t>
      </w:r>
    </w:p>
    <w:p w14:paraId="2BC8772D" w14:textId="3C5D7F76" w:rsidR="00A86470" w:rsidRDefault="00A86470" w:rsidP="000A5FA7">
      <w:pPr>
        <w:rPr>
          <w:rFonts w:ascii="Cambria" w:hAnsi="Cambria"/>
          <w:b/>
          <w:bCs/>
        </w:rPr>
      </w:pPr>
      <w:r w:rsidRPr="00A86470">
        <w:rPr>
          <w:rFonts w:ascii="Cambria" w:hAnsi="Cambria"/>
          <w:b/>
          <w:bCs/>
        </w:rPr>
        <w:t>Procurement by States</w:t>
      </w:r>
    </w:p>
    <w:p w14:paraId="0DCD1513" w14:textId="379451D5" w:rsidR="00A86470" w:rsidRPr="00A86470" w:rsidRDefault="00A86470" w:rsidP="000A5FA7">
      <w:pPr>
        <w:rPr>
          <w:rFonts w:ascii="Cambria" w:hAnsi="Cambria"/>
        </w:rPr>
      </w:pPr>
      <w:r w:rsidRPr="00A86470">
        <w:rPr>
          <w:rFonts w:ascii="Cambria" w:hAnsi="Cambria"/>
        </w:rPr>
        <w:t>When procuring property and services under a Federal award, a State must follow the same policies and procedures it uses for procurements from its non-Federal funds. The State will comply with §§ 200.321, 200.322, and 200.323 and ensure that every purchase order or other contract includes any clauses required by § 200.327. All other non-Federal entities, including subrecipients of a State, must follow the procurement standards in §§ 200.318 through 200.327.</w:t>
      </w:r>
    </w:p>
    <w:p w14:paraId="7EC9C32C" w14:textId="51BAACAF" w:rsidR="000A5FA7" w:rsidRDefault="00042ACE" w:rsidP="000A5FA7">
      <w:pPr>
        <w:rPr>
          <w:rFonts w:ascii="Cambria" w:hAnsi="Cambria"/>
          <w:b/>
          <w:bCs/>
          <w:sz w:val="32"/>
          <w:szCs w:val="32"/>
        </w:rPr>
      </w:pPr>
      <w:r>
        <w:rPr>
          <w:rFonts w:ascii="Cambria" w:hAnsi="Cambria"/>
          <w:b/>
          <w:bCs/>
          <w:sz w:val="32"/>
          <w:szCs w:val="32"/>
        </w:rPr>
        <w:t>Responsible Spending</w:t>
      </w:r>
    </w:p>
    <w:p w14:paraId="27AC721A" w14:textId="0DADD373" w:rsidR="00042ACE" w:rsidRPr="00042ACE" w:rsidRDefault="000A5FA7" w:rsidP="00042ACE">
      <w:pPr>
        <w:rPr>
          <w:rFonts w:ascii="Cambria" w:hAnsi="Cambria"/>
        </w:rPr>
      </w:pPr>
      <w:r w:rsidRPr="000A5FA7">
        <w:rPr>
          <w:rFonts w:ascii="Cambria" w:hAnsi="Cambria"/>
        </w:rPr>
        <w:t>​​</w:t>
      </w:r>
      <w:r w:rsidR="00042ACE" w:rsidRPr="00042ACE">
        <w:rPr>
          <w:rFonts w:ascii="Cambria" w:hAnsi="Cambria"/>
        </w:rPr>
        <w:t>The Uniform Guidance includes mandates and suggestions encouraging agencies to</w:t>
      </w:r>
      <w:r w:rsidR="00042ACE">
        <w:rPr>
          <w:rFonts w:ascii="Cambria" w:hAnsi="Cambria"/>
        </w:rPr>
        <w:t xml:space="preserve"> </w:t>
      </w:r>
      <w:r w:rsidR="00042ACE" w:rsidRPr="00042ACE">
        <w:rPr>
          <w:rFonts w:ascii="Cambria" w:hAnsi="Cambria"/>
        </w:rPr>
        <w:t>be economical and responsible with their spending, including:</w:t>
      </w:r>
    </w:p>
    <w:p w14:paraId="1DA21F79" w14:textId="5220F514" w:rsidR="00042ACE" w:rsidRPr="00042ACE" w:rsidRDefault="00042ACE" w:rsidP="00042ACE">
      <w:pPr>
        <w:pStyle w:val="ListParagraph"/>
        <w:numPr>
          <w:ilvl w:val="0"/>
          <w:numId w:val="20"/>
        </w:numPr>
        <w:rPr>
          <w:rFonts w:ascii="Cambria" w:hAnsi="Cambria"/>
        </w:rPr>
      </w:pPr>
      <w:r w:rsidRPr="00042ACE">
        <w:rPr>
          <w:rFonts w:ascii="Cambria" w:hAnsi="Cambria"/>
        </w:rPr>
        <w:t xml:space="preserve">avoiding acquisition of unnecessary or duplicative </w:t>
      </w:r>
      <w:proofErr w:type="gramStart"/>
      <w:r w:rsidRPr="00042ACE">
        <w:rPr>
          <w:rFonts w:ascii="Cambria" w:hAnsi="Cambria"/>
        </w:rPr>
        <w:t>items</w:t>
      </w:r>
      <w:r>
        <w:rPr>
          <w:rFonts w:ascii="Cambria" w:hAnsi="Cambria"/>
        </w:rPr>
        <w:t>;</w:t>
      </w:r>
      <w:proofErr w:type="gramEnd"/>
    </w:p>
    <w:p w14:paraId="6F9E1821" w14:textId="5566F2FB" w:rsidR="00042ACE" w:rsidRPr="00042ACE" w:rsidRDefault="00042ACE" w:rsidP="00042ACE">
      <w:pPr>
        <w:pStyle w:val="ListParagraph"/>
        <w:numPr>
          <w:ilvl w:val="0"/>
          <w:numId w:val="20"/>
        </w:numPr>
        <w:rPr>
          <w:rFonts w:ascii="Cambria" w:hAnsi="Cambria"/>
        </w:rPr>
      </w:pPr>
      <w:r w:rsidRPr="00042ACE">
        <w:rPr>
          <w:rFonts w:ascii="Cambria" w:hAnsi="Cambria"/>
        </w:rPr>
        <w:t xml:space="preserve">considering consolidating or breaking out procurements to obtain a more economical </w:t>
      </w:r>
      <w:proofErr w:type="gramStart"/>
      <w:r w:rsidRPr="00042ACE">
        <w:rPr>
          <w:rFonts w:ascii="Cambria" w:hAnsi="Cambria"/>
        </w:rPr>
        <w:t>purchase</w:t>
      </w:r>
      <w:r>
        <w:rPr>
          <w:rFonts w:ascii="Cambria" w:hAnsi="Cambria"/>
        </w:rPr>
        <w:t>;</w:t>
      </w:r>
      <w:proofErr w:type="gramEnd"/>
    </w:p>
    <w:p w14:paraId="1F10AC84" w14:textId="6984648B" w:rsidR="00042ACE" w:rsidRPr="00042ACE" w:rsidRDefault="00042ACE" w:rsidP="00042ACE">
      <w:pPr>
        <w:pStyle w:val="ListParagraph"/>
        <w:numPr>
          <w:ilvl w:val="0"/>
          <w:numId w:val="20"/>
        </w:numPr>
        <w:rPr>
          <w:rFonts w:ascii="Cambria" w:hAnsi="Cambria"/>
        </w:rPr>
      </w:pPr>
      <w:r w:rsidRPr="00042ACE">
        <w:rPr>
          <w:rFonts w:ascii="Cambria" w:hAnsi="Cambria"/>
        </w:rPr>
        <w:t xml:space="preserve">considering lease options in lieu of </w:t>
      </w:r>
      <w:proofErr w:type="gramStart"/>
      <w:r w:rsidRPr="00042ACE">
        <w:rPr>
          <w:rFonts w:ascii="Cambria" w:hAnsi="Cambria"/>
        </w:rPr>
        <w:t>purchasing</w:t>
      </w:r>
      <w:r>
        <w:rPr>
          <w:rFonts w:ascii="Cambria" w:hAnsi="Cambria"/>
        </w:rPr>
        <w:t>;</w:t>
      </w:r>
      <w:proofErr w:type="gramEnd"/>
    </w:p>
    <w:p w14:paraId="5DB7079D" w14:textId="17120EC7" w:rsidR="00042ACE" w:rsidRPr="00042ACE" w:rsidRDefault="00042ACE" w:rsidP="00042ACE">
      <w:pPr>
        <w:pStyle w:val="ListParagraph"/>
        <w:numPr>
          <w:ilvl w:val="0"/>
          <w:numId w:val="20"/>
        </w:numPr>
        <w:rPr>
          <w:rFonts w:ascii="Cambria" w:hAnsi="Cambria"/>
        </w:rPr>
      </w:pPr>
      <w:r w:rsidRPr="00042ACE">
        <w:rPr>
          <w:rFonts w:ascii="Cambria" w:hAnsi="Cambria"/>
        </w:rPr>
        <w:t xml:space="preserve">investigating options for entering into state and local intergovernmental agreements or inter-entity agreements for procurement or use of common or shared goods and </w:t>
      </w:r>
      <w:proofErr w:type="gramStart"/>
      <w:r w:rsidRPr="00042ACE">
        <w:rPr>
          <w:rFonts w:ascii="Cambria" w:hAnsi="Cambria"/>
        </w:rPr>
        <w:t>services</w:t>
      </w:r>
      <w:r>
        <w:rPr>
          <w:rFonts w:ascii="Cambria" w:hAnsi="Cambria"/>
        </w:rPr>
        <w:t>;</w:t>
      </w:r>
      <w:proofErr w:type="gramEnd"/>
    </w:p>
    <w:p w14:paraId="51ABECB3" w14:textId="5182A92A" w:rsidR="00042ACE" w:rsidRPr="00042ACE" w:rsidRDefault="00042ACE" w:rsidP="00042ACE">
      <w:pPr>
        <w:pStyle w:val="ListParagraph"/>
        <w:numPr>
          <w:ilvl w:val="0"/>
          <w:numId w:val="20"/>
        </w:numPr>
        <w:rPr>
          <w:rFonts w:ascii="Cambria" w:hAnsi="Cambria"/>
        </w:rPr>
      </w:pPr>
      <w:r w:rsidRPr="00042ACE">
        <w:rPr>
          <w:rFonts w:ascii="Cambria" w:hAnsi="Cambria"/>
        </w:rPr>
        <w:t>using Federal excess and surplus property in lieu of purchasing new equipment</w:t>
      </w:r>
      <w:r>
        <w:rPr>
          <w:rFonts w:ascii="Cambria" w:hAnsi="Cambria"/>
        </w:rPr>
        <w:t>; and</w:t>
      </w:r>
    </w:p>
    <w:p w14:paraId="7C1BAC8B" w14:textId="1CA09C28" w:rsidR="00042ACE" w:rsidRPr="00042ACE" w:rsidRDefault="00042ACE" w:rsidP="00042ACE">
      <w:pPr>
        <w:pStyle w:val="ListParagraph"/>
        <w:numPr>
          <w:ilvl w:val="0"/>
          <w:numId w:val="20"/>
        </w:numPr>
        <w:rPr>
          <w:rFonts w:ascii="Cambria" w:hAnsi="Cambria"/>
        </w:rPr>
      </w:pPr>
      <w:r w:rsidRPr="00042ACE">
        <w:rPr>
          <w:rFonts w:ascii="Cambria" w:hAnsi="Cambria"/>
        </w:rPr>
        <w:t>using value engineering clauses in contracts (for construction projects of sufficient size) to offer reasonable opportunities for cost reduction</w:t>
      </w:r>
      <w:r>
        <w:rPr>
          <w:rFonts w:ascii="Cambria" w:hAnsi="Cambria"/>
        </w:rPr>
        <w:t>s.</w:t>
      </w:r>
    </w:p>
    <w:p w14:paraId="5EE75442" w14:textId="7BFFDC08" w:rsidR="000A5FA7" w:rsidRDefault="00042ACE" w:rsidP="000A5FA7">
      <w:pPr>
        <w:rPr>
          <w:rFonts w:ascii="Cambria" w:hAnsi="Cambria"/>
        </w:rPr>
      </w:pPr>
      <w:r w:rsidRPr="00042ACE">
        <w:rPr>
          <w:rFonts w:ascii="Cambria" w:hAnsi="Cambria"/>
          <w:b/>
          <w:bCs/>
        </w:rPr>
        <w:t>The non-Federal entity must maintain records sufficient to detail the history of procurement.</w:t>
      </w:r>
      <w:r w:rsidRPr="00042ACE">
        <w:rPr>
          <w:rFonts w:ascii="Cambria" w:hAnsi="Cambria"/>
        </w:rPr>
        <w:t xml:space="preserve"> These records will include, but are not necessarily limited to, the following: </w:t>
      </w:r>
      <w:r>
        <w:rPr>
          <w:rFonts w:ascii="Cambria" w:hAnsi="Cambria"/>
        </w:rPr>
        <w:t>r</w:t>
      </w:r>
      <w:r w:rsidRPr="00042ACE">
        <w:rPr>
          <w:rFonts w:ascii="Cambria" w:hAnsi="Cambria"/>
        </w:rPr>
        <w:t>ationale for the method of procurement, selection of contract type, contractor selection or rejection, and the basis for the contract price.</w:t>
      </w:r>
    </w:p>
    <w:p w14:paraId="21A9269B" w14:textId="77777777" w:rsidR="00042ACE" w:rsidRDefault="00042ACE" w:rsidP="000A5FA7">
      <w:pPr>
        <w:rPr>
          <w:rFonts w:ascii="Cambria" w:hAnsi="Cambria"/>
        </w:rPr>
      </w:pPr>
    </w:p>
    <w:p w14:paraId="1F2F8681" w14:textId="77777777" w:rsidR="00042ACE" w:rsidRDefault="00042ACE" w:rsidP="00042ACE">
      <w:pPr>
        <w:rPr>
          <w:rFonts w:ascii="Cambria" w:hAnsi="Cambria"/>
          <w:b/>
          <w:bCs/>
          <w:sz w:val="32"/>
          <w:szCs w:val="32"/>
        </w:rPr>
      </w:pPr>
      <w:r>
        <w:rPr>
          <w:rFonts w:ascii="Cambria" w:hAnsi="Cambria"/>
          <w:b/>
          <w:bCs/>
          <w:sz w:val="32"/>
          <w:szCs w:val="32"/>
        </w:rPr>
        <w:t>Conflicts of Interest Under the Uniform Guidance</w:t>
      </w:r>
    </w:p>
    <w:p w14:paraId="7D47C0AD" w14:textId="77777777" w:rsidR="00042ACE" w:rsidRPr="000A5FA7" w:rsidRDefault="00042ACE" w:rsidP="00042ACE">
      <w:pPr>
        <w:rPr>
          <w:rFonts w:ascii="Cambria" w:hAnsi="Cambria"/>
        </w:rPr>
      </w:pPr>
      <w:r w:rsidRPr="000A5FA7">
        <w:rPr>
          <w:rFonts w:ascii="Cambria" w:hAnsi="Cambria"/>
        </w:rPr>
        <w:t>​​​</w:t>
      </w:r>
      <w:r w:rsidRPr="00042ACE">
        <w:rPr>
          <w:rFonts w:ascii="Cambria" w:hAnsi="Cambria"/>
          <w:b/>
          <w:bCs/>
        </w:rPr>
        <w:t xml:space="preserve">The Uniform Guidance requires both Federal agencies and non-Federal entities to establish conflict of interest policies </w:t>
      </w:r>
      <w:r w:rsidRPr="00042ACE">
        <w:rPr>
          <w:rFonts w:ascii="Cambria" w:hAnsi="Cambria"/>
        </w:rPr>
        <w:t>relating to the award or receipt of federal funds.</w:t>
      </w:r>
      <w:r w:rsidRPr="000A5FA7">
        <w:rPr>
          <w:rFonts w:ascii="Cambria" w:hAnsi="Cambria"/>
        </w:rPr>
        <w:t xml:space="preserve"> Such policies regarding the selection and administration of contracts supported by the Federal award govern the conduct of the following parties:​​​​</w:t>
      </w:r>
    </w:p>
    <w:p w14:paraId="44B7A76E" w14:textId="77777777" w:rsidR="00042ACE" w:rsidRPr="000A5FA7" w:rsidRDefault="00042ACE" w:rsidP="00042ACE">
      <w:pPr>
        <w:pStyle w:val="ListParagraph"/>
        <w:numPr>
          <w:ilvl w:val="0"/>
          <w:numId w:val="3"/>
        </w:numPr>
        <w:rPr>
          <w:rFonts w:ascii="Cambria" w:hAnsi="Cambria"/>
        </w:rPr>
      </w:pPr>
      <w:r w:rsidRPr="000A5FA7">
        <w:rPr>
          <w:rFonts w:ascii="Cambria" w:hAnsi="Cambria"/>
        </w:rPr>
        <w:t>An employee</w:t>
      </w:r>
    </w:p>
    <w:p w14:paraId="549F0718" w14:textId="77777777" w:rsidR="00042ACE" w:rsidRPr="000A5FA7" w:rsidRDefault="00042ACE" w:rsidP="00042ACE">
      <w:pPr>
        <w:pStyle w:val="ListParagraph"/>
        <w:numPr>
          <w:ilvl w:val="0"/>
          <w:numId w:val="3"/>
        </w:numPr>
        <w:rPr>
          <w:rFonts w:ascii="Cambria" w:hAnsi="Cambria"/>
        </w:rPr>
      </w:pPr>
      <w:r w:rsidRPr="000A5FA7">
        <w:rPr>
          <w:rFonts w:ascii="Cambria" w:hAnsi="Cambria"/>
        </w:rPr>
        <w:t>An officer</w:t>
      </w:r>
    </w:p>
    <w:p w14:paraId="73DFFF47" w14:textId="77777777" w:rsidR="00042ACE" w:rsidRPr="000A5FA7" w:rsidRDefault="00042ACE" w:rsidP="00042ACE">
      <w:pPr>
        <w:pStyle w:val="ListParagraph"/>
        <w:numPr>
          <w:ilvl w:val="0"/>
          <w:numId w:val="3"/>
        </w:numPr>
        <w:rPr>
          <w:rFonts w:ascii="Cambria" w:hAnsi="Cambria"/>
        </w:rPr>
      </w:pPr>
      <w:r w:rsidRPr="000A5FA7">
        <w:rPr>
          <w:rFonts w:ascii="Cambria" w:hAnsi="Cambria"/>
        </w:rPr>
        <w:t>An agent</w:t>
      </w:r>
    </w:p>
    <w:p w14:paraId="735145A5" w14:textId="77777777" w:rsidR="00042ACE" w:rsidRPr="000A5FA7" w:rsidRDefault="00042ACE" w:rsidP="00042ACE">
      <w:pPr>
        <w:pStyle w:val="ListParagraph"/>
        <w:numPr>
          <w:ilvl w:val="0"/>
          <w:numId w:val="3"/>
        </w:numPr>
        <w:rPr>
          <w:rFonts w:ascii="Cambria" w:hAnsi="Cambria"/>
        </w:rPr>
      </w:pPr>
      <w:r w:rsidRPr="000A5FA7">
        <w:rPr>
          <w:rFonts w:ascii="Cambria" w:hAnsi="Cambria"/>
        </w:rPr>
        <w:t>Their partner</w:t>
      </w:r>
    </w:p>
    <w:p w14:paraId="0FE9B8B7" w14:textId="77777777" w:rsidR="00042ACE" w:rsidRPr="000A5FA7" w:rsidRDefault="00042ACE" w:rsidP="00042ACE">
      <w:pPr>
        <w:pStyle w:val="ListParagraph"/>
        <w:numPr>
          <w:ilvl w:val="0"/>
          <w:numId w:val="3"/>
        </w:numPr>
        <w:rPr>
          <w:rFonts w:ascii="Cambria" w:hAnsi="Cambria"/>
        </w:rPr>
      </w:pPr>
      <w:r w:rsidRPr="000A5FA7">
        <w:rPr>
          <w:rFonts w:ascii="Cambria" w:hAnsi="Cambria"/>
        </w:rPr>
        <w:t>Their immediate family member</w:t>
      </w:r>
    </w:p>
    <w:p w14:paraId="145FFC01" w14:textId="77777777" w:rsidR="00042ACE" w:rsidRPr="000A5FA7" w:rsidRDefault="00042ACE" w:rsidP="00042ACE">
      <w:pPr>
        <w:pStyle w:val="ListParagraph"/>
        <w:numPr>
          <w:ilvl w:val="0"/>
          <w:numId w:val="3"/>
        </w:numPr>
        <w:rPr>
          <w:rFonts w:ascii="Cambria" w:hAnsi="Cambria"/>
        </w:rPr>
      </w:pPr>
      <w:r w:rsidRPr="000A5FA7">
        <w:rPr>
          <w:rFonts w:ascii="Cambria" w:hAnsi="Cambria"/>
        </w:rPr>
        <w:t>An organization which employs or is about to employ any of these parties.</w:t>
      </w:r>
    </w:p>
    <w:p w14:paraId="41537CB1" w14:textId="77777777" w:rsidR="00042ACE" w:rsidRPr="000A5FA7" w:rsidRDefault="00042ACE" w:rsidP="00042ACE">
      <w:pPr>
        <w:pStyle w:val="ListParagraph"/>
        <w:numPr>
          <w:ilvl w:val="0"/>
          <w:numId w:val="3"/>
        </w:numPr>
        <w:rPr>
          <w:rFonts w:ascii="Cambria" w:hAnsi="Cambria"/>
        </w:rPr>
      </w:pPr>
      <w:r w:rsidRPr="000A5FA7">
        <w:rPr>
          <w:rFonts w:ascii="Cambria" w:hAnsi="Cambria"/>
        </w:rPr>
        <w:t xml:space="preserve">An organization that is the parent, affiliate, or subsidiary organization of a non-Federal entity, which is not a state, local government, or Indian </w:t>
      </w:r>
      <w:proofErr w:type="gramStart"/>
      <w:r w:rsidRPr="000A5FA7">
        <w:rPr>
          <w:rFonts w:ascii="Cambria" w:hAnsi="Cambria"/>
        </w:rPr>
        <w:t>tribe​​</w:t>
      </w:r>
      <w:proofErr w:type="gramEnd"/>
    </w:p>
    <w:p w14:paraId="3AE37355" w14:textId="77777777" w:rsidR="00042ACE" w:rsidRPr="000A5FA7" w:rsidRDefault="00042ACE" w:rsidP="00042ACE">
      <w:pPr>
        <w:rPr>
          <w:rFonts w:ascii="Cambria" w:hAnsi="Cambria"/>
        </w:rPr>
      </w:pPr>
      <w:r w:rsidRPr="000A5FA7">
        <w:rPr>
          <w:rFonts w:ascii="Cambria" w:hAnsi="Cambria"/>
        </w:rPr>
        <w:t>None of these parties may:</w:t>
      </w:r>
    </w:p>
    <w:p w14:paraId="42CC6656" w14:textId="77777777" w:rsidR="00042ACE" w:rsidRPr="000A5FA7" w:rsidRDefault="00042ACE" w:rsidP="00042ACE">
      <w:pPr>
        <w:pStyle w:val="ListParagraph"/>
        <w:numPr>
          <w:ilvl w:val="0"/>
          <w:numId w:val="4"/>
        </w:numPr>
        <w:rPr>
          <w:rFonts w:ascii="Cambria" w:hAnsi="Cambria"/>
        </w:rPr>
      </w:pPr>
      <w:r w:rsidRPr="000A5FA7">
        <w:rPr>
          <w:rFonts w:ascii="Cambria" w:hAnsi="Cambria"/>
        </w:rPr>
        <w:t xml:space="preserve">​Participate in the selection, award, or administration of a contract if they have an interest, financial or otherwise, or stand to benefit, personally or tangibly, from a firm considered for a </w:t>
      </w:r>
      <w:proofErr w:type="gramStart"/>
      <w:r w:rsidRPr="000A5FA7">
        <w:rPr>
          <w:rFonts w:ascii="Cambria" w:hAnsi="Cambria"/>
        </w:rPr>
        <w:t>contract</w:t>
      </w:r>
      <w:proofErr w:type="gramEnd"/>
      <w:r w:rsidRPr="000A5FA7">
        <w:rPr>
          <w:rFonts w:ascii="Cambria" w:hAnsi="Cambria"/>
        </w:rPr>
        <w:t xml:space="preserve"> </w:t>
      </w:r>
    </w:p>
    <w:p w14:paraId="367EBEA5" w14:textId="77777777" w:rsidR="00042ACE" w:rsidRPr="000A5FA7" w:rsidRDefault="00042ACE" w:rsidP="00042ACE">
      <w:pPr>
        <w:pStyle w:val="ListParagraph"/>
        <w:numPr>
          <w:ilvl w:val="0"/>
          <w:numId w:val="4"/>
        </w:numPr>
        <w:rPr>
          <w:rFonts w:ascii="Cambria" w:hAnsi="Cambria"/>
        </w:rPr>
      </w:pPr>
      <w:r w:rsidRPr="000A5FA7">
        <w:rPr>
          <w:rFonts w:ascii="Cambria" w:hAnsi="Cambria"/>
        </w:rPr>
        <w:t xml:space="preserve">Solicit or accept gratuities, favors, or anything of monetary value from contractors or parties to the </w:t>
      </w:r>
      <w:proofErr w:type="gramStart"/>
      <w:r w:rsidRPr="000A5FA7">
        <w:rPr>
          <w:rFonts w:ascii="Cambria" w:hAnsi="Cambria"/>
        </w:rPr>
        <w:t>subcontracts</w:t>
      </w:r>
      <w:proofErr w:type="gramEnd"/>
    </w:p>
    <w:p w14:paraId="37648BC5" w14:textId="77777777" w:rsidR="00042ACE" w:rsidRPr="000A5FA7" w:rsidRDefault="00042ACE" w:rsidP="00042ACE">
      <w:pPr>
        <w:rPr>
          <w:rFonts w:ascii="Cambria" w:hAnsi="Cambria"/>
        </w:rPr>
      </w:pPr>
      <w:r w:rsidRPr="000A5FA7">
        <w:rPr>
          <w:rFonts w:ascii="Cambria" w:hAnsi="Cambria"/>
        </w:rPr>
        <w:t>​Under the Uniform Guidance, non-Federal entities must:</w:t>
      </w:r>
    </w:p>
    <w:p w14:paraId="2752D784" w14:textId="77777777" w:rsidR="00042ACE" w:rsidRPr="000A5FA7" w:rsidRDefault="00042ACE" w:rsidP="00042ACE">
      <w:pPr>
        <w:pStyle w:val="ListParagraph"/>
        <w:numPr>
          <w:ilvl w:val="0"/>
          <w:numId w:val="5"/>
        </w:numPr>
        <w:rPr>
          <w:rFonts w:ascii="Cambria" w:hAnsi="Cambria"/>
        </w:rPr>
      </w:pPr>
      <w:r w:rsidRPr="000A5FA7">
        <w:rPr>
          <w:rFonts w:ascii="Cambria" w:hAnsi="Cambria"/>
        </w:rPr>
        <w:t xml:space="preserve">Disclose any potential conflicts of interest to the Federal awarding agency and/or pass-through </w:t>
      </w:r>
      <w:proofErr w:type="gramStart"/>
      <w:r w:rsidRPr="000A5FA7">
        <w:rPr>
          <w:rFonts w:ascii="Cambria" w:hAnsi="Cambria"/>
        </w:rPr>
        <w:t>entities</w:t>
      </w:r>
      <w:proofErr w:type="gramEnd"/>
    </w:p>
    <w:p w14:paraId="3022995A" w14:textId="77777777" w:rsidR="00042ACE" w:rsidRPr="000A5FA7" w:rsidRDefault="00042ACE" w:rsidP="00042ACE">
      <w:pPr>
        <w:pStyle w:val="ListParagraph"/>
        <w:numPr>
          <w:ilvl w:val="0"/>
          <w:numId w:val="5"/>
        </w:numPr>
        <w:rPr>
          <w:rFonts w:ascii="Cambria" w:hAnsi="Cambria"/>
        </w:rPr>
      </w:pPr>
      <w:r w:rsidRPr="000A5FA7">
        <w:rPr>
          <w:rFonts w:ascii="Cambria" w:hAnsi="Cambria"/>
        </w:rPr>
        <w:t xml:space="preserve">Use their own discretion to set standards for situations in which the financial interest is not substantial, or the gift is an unsolicited item of nominal </w:t>
      </w:r>
      <w:proofErr w:type="gramStart"/>
      <w:r w:rsidRPr="000A5FA7">
        <w:rPr>
          <w:rFonts w:ascii="Cambria" w:hAnsi="Cambria"/>
        </w:rPr>
        <w:t>value</w:t>
      </w:r>
      <w:proofErr w:type="gramEnd"/>
    </w:p>
    <w:p w14:paraId="3A61E697" w14:textId="77777777" w:rsidR="00042ACE" w:rsidRPr="000A5FA7" w:rsidRDefault="00042ACE" w:rsidP="00042ACE">
      <w:pPr>
        <w:pStyle w:val="ListParagraph"/>
        <w:numPr>
          <w:ilvl w:val="0"/>
          <w:numId w:val="5"/>
        </w:numPr>
        <w:rPr>
          <w:rFonts w:ascii="Cambria" w:hAnsi="Cambria"/>
        </w:rPr>
      </w:pPr>
      <w:r w:rsidRPr="000A5FA7">
        <w:rPr>
          <w:rFonts w:ascii="Cambria" w:hAnsi="Cambria"/>
        </w:rPr>
        <w:t xml:space="preserve">Discipline offending parties should standards of conduct be </w:t>
      </w:r>
      <w:proofErr w:type="gramStart"/>
      <w:r w:rsidRPr="000A5FA7">
        <w:rPr>
          <w:rFonts w:ascii="Cambria" w:hAnsi="Cambria"/>
        </w:rPr>
        <w:t>violated</w:t>
      </w:r>
      <w:proofErr w:type="gramEnd"/>
    </w:p>
    <w:p w14:paraId="66FFA30E" w14:textId="593BD157" w:rsidR="000A5FA7" w:rsidRDefault="00042ACE" w:rsidP="000A5FA7">
      <w:pPr>
        <w:rPr>
          <w:rFonts w:ascii="Cambria" w:hAnsi="Cambria"/>
          <w:b/>
          <w:bCs/>
          <w:sz w:val="32"/>
          <w:szCs w:val="32"/>
        </w:rPr>
      </w:pPr>
      <w:r>
        <w:rPr>
          <w:rFonts w:ascii="Cambria" w:hAnsi="Cambria"/>
          <w:b/>
          <w:bCs/>
          <w:sz w:val="32"/>
          <w:szCs w:val="32"/>
        </w:rPr>
        <w:t>Competitive Bidding Requirements</w:t>
      </w:r>
    </w:p>
    <w:p w14:paraId="7ED334E7" w14:textId="23C9FBE5" w:rsidR="00042ACE" w:rsidRPr="00042ACE" w:rsidRDefault="00042ACE" w:rsidP="00042ACE">
      <w:pPr>
        <w:rPr>
          <w:rFonts w:ascii="Cambria" w:hAnsi="Cambria"/>
        </w:rPr>
      </w:pPr>
      <w:r w:rsidRPr="00042ACE">
        <w:rPr>
          <w:rFonts w:ascii="Cambria" w:hAnsi="Cambria"/>
        </w:rPr>
        <w:t xml:space="preserve">All procurement transactions for the acquisition of property or services required under a </w:t>
      </w:r>
      <w:proofErr w:type="gramStart"/>
      <w:r w:rsidRPr="00042ACE">
        <w:rPr>
          <w:rFonts w:ascii="Cambria" w:hAnsi="Cambria"/>
        </w:rPr>
        <w:t>Federal</w:t>
      </w:r>
      <w:proofErr w:type="gramEnd"/>
      <w:r w:rsidRPr="00042ACE">
        <w:rPr>
          <w:rFonts w:ascii="Cambria" w:hAnsi="Cambria"/>
        </w:rPr>
        <w:t xml:space="preserve"> award must be conducted in a manner providing full and open competition consistent with the standards of § 200.319 and 200.320.</w:t>
      </w:r>
    </w:p>
    <w:p w14:paraId="581B4740" w14:textId="16D14FD8" w:rsidR="00042ACE" w:rsidRPr="00042ACE" w:rsidRDefault="00042ACE" w:rsidP="00042ACE">
      <w:pPr>
        <w:rPr>
          <w:rFonts w:ascii="Cambria" w:hAnsi="Cambria"/>
        </w:rPr>
      </w:pPr>
      <w:r w:rsidRPr="00042ACE">
        <w:rPr>
          <w:rFonts w:ascii="Cambria" w:hAnsi="Cambria"/>
        </w:rPr>
        <w:t>Some of the situations considered to be restrictive of competition include but are not limited to:</w:t>
      </w:r>
    </w:p>
    <w:p w14:paraId="298954E4" w14:textId="77777777" w:rsidR="00042ACE" w:rsidRPr="00042ACE" w:rsidRDefault="00042ACE" w:rsidP="00042ACE">
      <w:pPr>
        <w:pStyle w:val="ListParagraph"/>
        <w:numPr>
          <w:ilvl w:val="0"/>
          <w:numId w:val="21"/>
        </w:numPr>
        <w:rPr>
          <w:rFonts w:ascii="Cambria" w:hAnsi="Cambria"/>
        </w:rPr>
      </w:pPr>
      <w:r w:rsidRPr="00042ACE">
        <w:rPr>
          <w:rFonts w:ascii="Cambria" w:hAnsi="Cambria"/>
        </w:rPr>
        <w:t xml:space="preserve">Placing unreasonable requirements on firms in order for them to qualify to do </w:t>
      </w:r>
      <w:proofErr w:type="gramStart"/>
      <w:r w:rsidRPr="00042ACE">
        <w:rPr>
          <w:rFonts w:ascii="Cambria" w:hAnsi="Cambria"/>
        </w:rPr>
        <w:t>business;</w:t>
      </w:r>
      <w:proofErr w:type="gramEnd"/>
      <w:r w:rsidRPr="00042ACE">
        <w:rPr>
          <w:rFonts w:ascii="Cambria" w:hAnsi="Cambria"/>
        </w:rPr>
        <w:t xml:space="preserve"> </w:t>
      </w:r>
    </w:p>
    <w:p w14:paraId="148A8539" w14:textId="77777777" w:rsidR="00042ACE" w:rsidRPr="00042ACE" w:rsidRDefault="00042ACE" w:rsidP="00042ACE">
      <w:pPr>
        <w:pStyle w:val="ListParagraph"/>
        <w:numPr>
          <w:ilvl w:val="0"/>
          <w:numId w:val="21"/>
        </w:numPr>
        <w:rPr>
          <w:rFonts w:ascii="Cambria" w:hAnsi="Cambria"/>
        </w:rPr>
      </w:pPr>
      <w:r w:rsidRPr="00042ACE">
        <w:rPr>
          <w:rFonts w:ascii="Cambria" w:hAnsi="Cambria"/>
        </w:rPr>
        <w:t xml:space="preserve">Requiring unnecessary experience and excessive </w:t>
      </w:r>
      <w:proofErr w:type="gramStart"/>
      <w:r w:rsidRPr="00042ACE">
        <w:rPr>
          <w:rFonts w:ascii="Cambria" w:hAnsi="Cambria"/>
        </w:rPr>
        <w:t>bonding;</w:t>
      </w:r>
      <w:proofErr w:type="gramEnd"/>
      <w:r w:rsidRPr="00042ACE">
        <w:rPr>
          <w:rFonts w:ascii="Cambria" w:hAnsi="Cambria"/>
        </w:rPr>
        <w:t xml:space="preserve"> </w:t>
      </w:r>
    </w:p>
    <w:p w14:paraId="21259FBE" w14:textId="77777777" w:rsidR="00042ACE" w:rsidRPr="00042ACE" w:rsidRDefault="00042ACE" w:rsidP="00042ACE">
      <w:pPr>
        <w:pStyle w:val="ListParagraph"/>
        <w:numPr>
          <w:ilvl w:val="0"/>
          <w:numId w:val="21"/>
        </w:numPr>
        <w:rPr>
          <w:rFonts w:ascii="Cambria" w:hAnsi="Cambria"/>
        </w:rPr>
      </w:pPr>
      <w:r w:rsidRPr="00042ACE">
        <w:rPr>
          <w:rFonts w:ascii="Cambria" w:hAnsi="Cambria"/>
        </w:rPr>
        <w:lastRenderedPageBreak/>
        <w:t xml:space="preserve">Noncompetitive pricing practices between firms or between affiliated </w:t>
      </w:r>
      <w:proofErr w:type="gramStart"/>
      <w:r w:rsidRPr="00042ACE">
        <w:rPr>
          <w:rFonts w:ascii="Cambria" w:hAnsi="Cambria"/>
        </w:rPr>
        <w:t>companies;</w:t>
      </w:r>
      <w:proofErr w:type="gramEnd"/>
      <w:r w:rsidRPr="00042ACE">
        <w:rPr>
          <w:rFonts w:ascii="Cambria" w:hAnsi="Cambria"/>
        </w:rPr>
        <w:t xml:space="preserve"> </w:t>
      </w:r>
    </w:p>
    <w:p w14:paraId="3B6E132A" w14:textId="77777777" w:rsidR="00042ACE" w:rsidRPr="00042ACE" w:rsidRDefault="00042ACE" w:rsidP="00042ACE">
      <w:pPr>
        <w:pStyle w:val="ListParagraph"/>
        <w:numPr>
          <w:ilvl w:val="0"/>
          <w:numId w:val="21"/>
        </w:numPr>
        <w:rPr>
          <w:rFonts w:ascii="Cambria" w:hAnsi="Cambria"/>
        </w:rPr>
      </w:pPr>
      <w:r w:rsidRPr="00042ACE">
        <w:rPr>
          <w:rFonts w:ascii="Cambria" w:hAnsi="Cambria"/>
        </w:rPr>
        <w:t xml:space="preserve">Noncompetitive contracts to consultants that are on retainer </w:t>
      </w:r>
      <w:proofErr w:type="gramStart"/>
      <w:r w:rsidRPr="00042ACE">
        <w:rPr>
          <w:rFonts w:ascii="Cambria" w:hAnsi="Cambria"/>
        </w:rPr>
        <w:t>contracts;</w:t>
      </w:r>
      <w:proofErr w:type="gramEnd"/>
      <w:r w:rsidRPr="00042ACE">
        <w:rPr>
          <w:rFonts w:ascii="Cambria" w:hAnsi="Cambria"/>
        </w:rPr>
        <w:t xml:space="preserve"> </w:t>
      </w:r>
    </w:p>
    <w:p w14:paraId="08E2159E" w14:textId="77777777" w:rsidR="00042ACE" w:rsidRPr="00042ACE" w:rsidRDefault="00042ACE" w:rsidP="00042ACE">
      <w:pPr>
        <w:pStyle w:val="ListParagraph"/>
        <w:numPr>
          <w:ilvl w:val="0"/>
          <w:numId w:val="21"/>
        </w:numPr>
        <w:rPr>
          <w:rFonts w:ascii="Cambria" w:hAnsi="Cambria"/>
        </w:rPr>
      </w:pPr>
      <w:r w:rsidRPr="00042ACE">
        <w:rPr>
          <w:rFonts w:ascii="Cambria" w:hAnsi="Cambria"/>
        </w:rPr>
        <w:t xml:space="preserve">Organizational conflicts of </w:t>
      </w:r>
      <w:proofErr w:type="gramStart"/>
      <w:r w:rsidRPr="00042ACE">
        <w:rPr>
          <w:rFonts w:ascii="Cambria" w:hAnsi="Cambria"/>
        </w:rPr>
        <w:t>interest;</w:t>
      </w:r>
      <w:proofErr w:type="gramEnd"/>
      <w:r w:rsidRPr="00042ACE">
        <w:rPr>
          <w:rFonts w:ascii="Cambria" w:hAnsi="Cambria"/>
        </w:rPr>
        <w:t xml:space="preserve"> </w:t>
      </w:r>
    </w:p>
    <w:p w14:paraId="6463FC54" w14:textId="77777777" w:rsidR="00042ACE" w:rsidRPr="00042ACE" w:rsidRDefault="00042ACE" w:rsidP="00042ACE">
      <w:pPr>
        <w:pStyle w:val="ListParagraph"/>
        <w:numPr>
          <w:ilvl w:val="0"/>
          <w:numId w:val="21"/>
        </w:numPr>
        <w:rPr>
          <w:rFonts w:ascii="Cambria" w:hAnsi="Cambria"/>
        </w:rPr>
      </w:pPr>
      <w:r w:rsidRPr="00042ACE">
        <w:rPr>
          <w:rFonts w:ascii="Cambria" w:hAnsi="Cambria"/>
        </w:rPr>
        <w:t xml:space="preserve">Specifying only a “brand name” product instead of allowing “an equal” product to be offered and describing the performance or other relevant requirements of the procurement; and </w:t>
      </w:r>
    </w:p>
    <w:p w14:paraId="6381C9D7" w14:textId="1BBAF740" w:rsidR="00042ACE" w:rsidRPr="00042ACE" w:rsidRDefault="00042ACE" w:rsidP="00042ACE">
      <w:pPr>
        <w:pStyle w:val="ListParagraph"/>
        <w:numPr>
          <w:ilvl w:val="0"/>
          <w:numId w:val="21"/>
        </w:numPr>
        <w:rPr>
          <w:rFonts w:ascii="Cambria" w:hAnsi="Cambria"/>
        </w:rPr>
      </w:pPr>
      <w:r w:rsidRPr="00042ACE">
        <w:rPr>
          <w:rFonts w:ascii="Cambria" w:hAnsi="Cambria"/>
        </w:rPr>
        <w:t>Any arbitrary action in the procurement process.</w:t>
      </w:r>
    </w:p>
    <w:p w14:paraId="143F9524" w14:textId="6EAC0367" w:rsidR="00042ACE" w:rsidRPr="00042ACE" w:rsidRDefault="00042ACE" w:rsidP="00042ACE">
      <w:pPr>
        <w:rPr>
          <w:rFonts w:ascii="Cambria" w:hAnsi="Cambria"/>
        </w:rPr>
      </w:pPr>
      <w:r w:rsidRPr="00042ACE">
        <w:rPr>
          <w:rFonts w:ascii="Cambria" w:hAnsi="Cambria"/>
        </w:rPr>
        <w:t>The non-Federal entity must also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Some architectural and engineering services may be exempt from this requirement.</w:t>
      </w:r>
    </w:p>
    <w:p w14:paraId="0DBBF59A" w14:textId="66494431" w:rsidR="000A5FA7" w:rsidRDefault="00042ACE" w:rsidP="00042ACE">
      <w:pPr>
        <w:rPr>
          <w:rFonts w:ascii="Cambria" w:hAnsi="Cambria"/>
        </w:rPr>
      </w:pPr>
      <w:proofErr w:type="gramStart"/>
      <w:r w:rsidRPr="00042ACE">
        <w:rPr>
          <w:rFonts w:ascii="Cambria" w:hAnsi="Cambria"/>
        </w:rPr>
        <w:t>In order to</w:t>
      </w:r>
      <w:proofErr w:type="gramEnd"/>
      <w:r w:rsidRPr="00042ACE">
        <w:rPr>
          <w:rFonts w:ascii="Cambria" w:hAnsi="Cambria"/>
        </w:rPr>
        <w:t xml:space="preserve"> ensure objective contractor performance and eliminate unfair competitive advantage, </w:t>
      </w:r>
      <w:r w:rsidRPr="00042ACE">
        <w:rPr>
          <w:rFonts w:ascii="Cambria" w:hAnsi="Cambria"/>
          <w:b/>
          <w:bCs/>
        </w:rPr>
        <w:t>contractors that develop or draft specifications, requirements, statements of work, or invitations for bids or requests for proposals must be excluded from competing for such procurements</w:t>
      </w:r>
      <w:r w:rsidRPr="00042ACE">
        <w:rPr>
          <w:rFonts w:ascii="Cambria" w:hAnsi="Cambria"/>
        </w:rPr>
        <w:t>.</w:t>
      </w:r>
    </w:p>
    <w:p w14:paraId="31BA1B0F" w14:textId="331BAB31" w:rsidR="000A5FA7" w:rsidRDefault="000A5FA7" w:rsidP="000A5FA7">
      <w:pPr>
        <w:rPr>
          <w:rFonts w:ascii="Cambria" w:hAnsi="Cambria"/>
          <w:b/>
          <w:bCs/>
          <w:sz w:val="32"/>
          <w:szCs w:val="32"/>
        </w:rPr>
      </w:pPr>
      <w:r>
        <w:rPr>
          <w:rFonts w:ascii="Cambria" w:hAnsi="Cambria"/>
          <w:b/>
          <w:bCs/>
          <w:sz w:val="32"/>
          <w:szCs w:val="32"/>
        </w:rPr>
        <w:t>Wh</w:t>
      </w:r>
      <w:r w:rsidR="00042ACE">
        <w:rPr>
          <w:rFonts w:ascii="Cambria" w:hAnsi="Cambria"/>
          <w:b/>
          <w:bCs/>
          <w:sz w:val="32"/>
          <w:szCs w:val="32"/>
        </w:rPr>
        <w:t>at Does the Uniform Guidance Say about Contractors</w:t>
      </w:r>
      <w:r>
        <w:rPr>
          <w:rFonts w:ascii="Cambria" w:hAnsi="Cambria"/>
          <w:b/>
          <w:bCs/>
          <w:sz w:val="32"/>
          <w:szCs w:val="32"/>
        </w:rPr>
        <w:t>?</w:t>
      </w:r>
    </w:p>
    <w:p w14:paraId="16423154" w14:textId="6455AB45" w:rsidR="00042ACE" w:rsidRPr="00042ACE" w:rsidRDefault="000A5FA7" w:rsidP="00042ACE">
      <w:pPr>
        <w:rPr>
          <w:rFonts w:ascii="Cambria" w:hAnsi="Cambria"/>
        </w:rPr>
      </w:pPr>
      <w:r w:rsidRPr="000A5FA7">
        <w:rPr>
          <w:rFonts w:ascii="Cambria" w:hAnsi="Cambria"/>
        </w:rPr>
        <w:t>​</w:t>
      </w:r>
      <w:r w:rsidR="00042ACE" w:rsidRPr="00042ACE">
        <w:t xml:space="preserve"> </w:t>
      </w:r>
      <w:r w:rsidR="00042ACE" w:rsidRPr="00042ACE">
        <w:rPr>
          <w:rFonts w:ascii="Cambria" w:hAnsi="Cambria"/>
        </w:rPr>
        <w:t>Non-Federal entities must maintain oversight to ensure that contractors perform in accordance with the terms, conditions, and specifications of their contracts or purchase orders.</w:t>
      </w:r>
    </w:p>
    <w:p w14:paraId="1CD66F02" w14:textId="45985021" w:rsidR="00042ACE" w:rsidRPr="00042ACE" w:rsidRDefault="00042ACE" w:rsidP="00042ACE">
      <w:pPr>
        <w:rPr>
          <w:rFonts w:ascii="Cambria" w:hAnsi="Cambria"/>
        </w:rPr>
      </w:pPr>
      <w:r w:rsidRPr="00042ACE">
        <w:rPr>
          <w:rFonts w:ascii="Cambria" w:hAnsi="Cambria"/>
        </w:rPr>
        <w:t xml:space="preserve">Contracts must be award only to responsible contractors possessing the ability to perform successfully under the terms and conditions of a proposed procurement. </w:t>
      </w:r>
    </w:p>
    <w:p w14:paraId="696D4FFA" w14:textId="77777777" w:rsidR="00042ACE" w:rsidRPr="00042ACE" w:rsidRDefault="00042ACE" w:rsidP="00042ACE">
      <w:pPr>
        <w:rPr>
          <w:rFonts w:ascii="Cambria" w:hAnsi="Cambria"/>
        </w:rPr>
      </w:pPr>
      <w:r w:rsidRPr="00042ACE">
        <w:rPr>
          <w:rFonts w:ascii="Cambria" w:hAnsi="Cambria"/>
        </w:rPr>
        <w:t>Consideration should be given to such matters as:</w:t>
      </w:r>
    </w:p>
    <w:p w14:paraId="21A22920" w14:textId="77777777" w:rsidR="00042ACE" w:rsidRPr="00042ACE" w:rsidRDefault="00042ACE" w:rsidP="00042ACE">
      <w:pPr>
        <w:pStyle w:val="ListParagraph"/>
        <w:numPr>
          <w:ilvl w:val="0"/>
          <w:numId w:val="22"/>
        </w:numPr>
        <w:rPr>
          <w:rFonts w:ascii="Cambria" w:hAnsi="Cambria"/>
        </w:rPr>
      </w:pPr>
      <w:r w:rsidRPr="00042ACE">
        <w:rPr>
          <w:rFonts w:ascii="Cambria" w:hAnsi="Cambria"/>
        </w:rPr>
        <w:t>contractor integrity,</w:t>
      </w:r>
    </w:p>
    <w:p w14:paraId="65107B67" w14:textId="77777777" w:rsidR="00042ACE" w:rsidRPr="00042ACE" w:rsidRDefault="00042ACE" w:rsidP="00042ACE">
      <w:pPr>
        <w:pStyle w:val="ListParagraph"/>
        <w:numPr>
          <w:ilvl w:val="0"/>
          <w:numId w:val="22"/>
        </w:numPr>
        <w:rPr>
          <w:rFonts w:ascii="Cambria" w:hAnsi="Cambria"/>
        </w:rPr>
      </w:pPr>
      <w:r w:rsidRPr="00042ACE">
        <w:rPr>
          <w:rFonts w:ascii="Cambria" w:hAnsi="Cambria"/>
        </w:rPr>
        <w:t>compliance with public policy,</w:t>
      </w:r>
    </w:p>
    <w:p w14:paraId="445B02E6" w14:textId="77777777" w:rsidR="00042ACE" w:rsidRPr="00042ACE" w:rsidRDefault="00042ACE" w:rsidP="00042ACE">
      <w:pPr>
        <w:pStyle w:val="ListParagraph"/>
        <w:numPr>
          <w:ilvl w:val="0"/>
          <w:numId w:val="22"/>
        </w:numPr>
        <w:rPr>
          <w:rFonts w:ascii="Cambria" w:hAnsi="Cambria"/>
        </w:rPr>
      </w:pPr>
      <w:r w:rsidRPr="00042ACE">
        <w:rPr>
          <w:rFonts w:ascii="Cambria" w:hAnsi="Cambria"/>
        </w:rPr>
        <w:t>record of past performance, and</w:t>
      </w:r>
    </w:p>
    <w:p w14:paraId="58D6EF2B" w14:textId="71EB79E4" w:rsidR="00042ACE" w:rsidRPr="00042ACE" w:rsidRDefault="00042ACE" w:rsidP="00042ACE">
      <w:pPr>
        <w:pStyle w:val="ListParagraph"/>
        <w:numPr>
          <w:ilvl w:val="0"/>
          <w:numId w:val="22"/>
        </w:numPr>
        <w:rPr>
          <w:rFonts w:ascii="Cambria" w:hAnsi="Cambria"/>
        </w:rPr>
      </w:pPr>
      <w:r w:rsidRPr="00042ACE">
        <w:rPr>
          <w:rFonts w:ascii="Cambria" w:hAnsi="Cambria"/>
        </w:rPr>
        <w:t>financial and technical resources.</w:t>
      </w:r>
    </w:p>
    <w:p w14:paraId="0EF5E0DA" w14:textId="71B01C0E" w:rsidR="00042ACE" w:rsidRPr="00042ACE" w:rsidRDefault="00042ACE" w:rsidP="00042ACE">
      <w:pPr>
        <w:rPr>
          <w:rFonts w:ascii="Cambria" w:hAnsi="Cambria"/>
        </w:rPr>
      </w:pPr>
      <w:r w:rsidRPr="00042ACE">
        <w:rPr>
          <w:rFonts w:ascii="Cambria" w:hAnsi="Cambria"/>
        </w:rPr>
        <w:t>Awards, subawards, and contracts cannot be awarded to parties that are debarred, suspended, or otherwise excluded from or ineligible for participation in Federal assistance programs or activities (§ 200.214).</w:t>
      </w:r>
    </w:p>
    <w:p w14:paraId="3DF9C2FC" w14:textId="5510FB90" w:rsidR="000A5FA7" w:rsidRDefault="00042ACE" w:rsidP="00042ACE">
      <w:pPr>
        <w:rPr>
          <w:rFonts w:ascii="Cambria" w:hAnsi="Cambria"/>
        </w:rPr>
      </w:pPr>
      <w:r w:rsidRPr="00042ACE">
        <w:rPr>
          <w:rFonts w:ascii="Cambria" w:hAnsi="Cambria"/>
        </w:rPr>
        <w:t>​Entities awarding a time-and-materials type contract must assert a high degree of oversight to obtain reasonable assurance that the contractor is using efficient methods and effective cost controls.</w:t>
      </w:r>
    </w:p>
    <w:p w14:paraId="039135D1" w14:textId="77777777" w:rsidR="00042ACE" w:rsidRDefault="00042ACE" w:rsidP="00042ACE">
      <w:pPr>
        <w:rPr>
          <w:rFonts w:ascii="Cambria" w:hAnsi="Cambria"/>
          <w:b/>
          <w:bCs/>
        </w:rPr>
      </w:pPr>
    </w:p>
    <w:p w14:paraId="0E5AB656" w14:textId="77777777" w:rsidR="00042ACE" w:rsidRDefault="00042ACE" w:rsidP="00042ACE">
      <w:pPr>
        <w:rPr>
          <w:rFonts w:ascii="Cambria" w:hAnsi="Cambria"/>
          <w:b/>
          <w:bCs/>
        </w:rPr>
      </w:pPr>
    </w:p>
    <w:p w14:paraId="186540B4" w14:textId="74CA4234" w:rsidR="00042ACE" w:rsidRDefault="00042ACE" w:rsidP="00042ACE">
      <w:pPr>
        <w:rPr>
          <w:rFonts w:ascii="Cambria" w:hAnsi="Cambria"/>
          <w:b/>
          <w:bCs/>
        </w:rPr>
      </w:pPr>
      <w:r w:rsidRPr="00042ACE">
        <w:rPr>
          <w:rFonts w:ascii="Cambria" w:hAnsi="Cambria"/>
          <w:b/>
          <w:bCs/>
        </w:rPr>
        <w:lastRenderedPageBreak/>
        <w:t>Contracting with Small and Minority Business (SMB), Women's Business Enterprises (WBE), and Labor Surplus Area Firms</w:t>
      </w:r>
    </w:p>
    <w:p w14:paraId="303F5900" w14:textId="4E785614" w:rsidR="00042ACE" w:rsidRPr="00042ACE" w:rsidRDefault="00042ACE" w:rsidP="00042ACE">
      <w:pPr>
        <w:rPr>
          <w:rFonts w:ascii="Cambria" w:hAnsi="Cambria"/>
        </w:rPr>
      </w:pPr>
      <w:r w:rsidRPr="00042ACE">
        <w:rPr>
          <w:rFonts w:ascii="Cambria" w:hAnsi="Cambria"/>
        </w:rPr>
        <w:t>Non-Federal entities must take all necessary affirmative steps to assure that small and minority businesses (SMB), women's business enterprises (WBE), and labor surplus area firms are used when possible.</w:t>
      </w:r>
    </w:p>
    <w:p w14:paraId="64602133" w14:textId="798B098A" w:rsidR="00042ACE" w:rsidRPr="00042ACE" w:rsidRDefault="00042ACE" w:rsidP="00042ACE">
      <w:pPr>
        <w:rPr>
          <w:rFonts w:ascii="Cambria" w:hAnsi="Cambria"/>
        </w:rPr>
      </w:pPr>
      <w:r w:rsidRPr="00042ACE">
        <w:rPr>
          <w:rFonts w:ascii="Cambria" w:hAnsi="Cambria"/>
        </w:rPr>
        <w:t>These steps must include:</w:t>
      </w:r>
    </w:p>
    <w:p w14:paraId="56E681E2" w14:textId="65F9EFE3" w:rsidR="00042ACE" w:rsidRPr="00042ACE" w:rsidRDefault="00042ACE" w:rsidP="00042ACE">
      <w:pPr>
        <w:pStyle w:val="ListParagraph"/>
        <w:numPr>
          <w:ilvl w:val="0"/>
          <w:numId w:val="23"/>
        </w:numPr>
        <w:rPr>
          <w:rFonts w:ascii="Cambria" w:hAnsi="Cambria"/>
        </w:rPr>
      </w:pPr>
      <w:r w:rsidRPr="00042ACE">
        <w:rPr>
          <w:rFonts w:ascii="Cambria" w:hAnsi="Cambria"/>
        </w:rPr>
        <w:t xml:space="preserve">Placing SMBs and WBEs on solicitation </w:t>
      </w:r>
      <w:proofErr w:type="gramStart"/>
      <w:r w:rsidRPr="00042ACE">
        <w:rPr>
          <w:rFonts w:ascii="Cambria" w:hAnsi="Cambria"/>
        </w:rPr>
        <w:t>lists;</w:t>
      </w:r>
      <w:proofErr w:type="gramEnd"/>
    </w:p>
    <w:p w14:paraId="6411AB91" w14:textId="4074C1F0" w:rsidR="00042ACE" w:rsidRPr="00042ACE" w:rsidRDefault="00042ACE" w:rsidP="00042ACE">
      <w:pPr>
        <w:pStyle w:val="ListParagraph"/>
        <w:numPr>
          <w:ilvl w:val="0"/>
          <w:numId w:val="23"/>
        </w:numPr>
        <w:rPr>
          <w:rFonts w:ascii="Cambria" w:hAnsi="Cambria"/>
        </w:rPr>
      </w:pPr>
      <w:r w:rsidRPr="00042ACE">
        <w:rPr>
          <w:rFonts w:ascii="Cambria" w:hAnsi="Cambria"/>
        </w:rPr>
        <w:t xml:space="preserve">Assuring such firms are solicited whenever they are potential </w:t>
      </w:r>
      <w:proofErr w:type="gramStart"/>
      <w:r w:rsidRPr="00042ACE">
        <w:rPr>
          <w:rFonts w:ascii="Cambria" w:hAnsi="Cambria"/>
        </w:rPr>
        <w:t>sources;</w:t>
      </w:r>
      <w:proofErr w:type="gramEnd"/>
    </w:p>
    <w:p w14:paraId="44A5A522" w14:textId="77777777" w:rsidR="00042ACE" w:rsidRDefault="00042ACE" w:rsidP="00042ACE">
      <w:pPr>
        <w:pStyle w:val="ListParagraph"/>
        <w:numPr>
          <w:ilvl w:val="0"/>
          <w:numId w:val="23"/>
        </w:numPr>
        <w:rPr>
          <w:rFonts w:ascii="Cambria" w:hAnsi="Cambria"/>
        </w:rPr>
      </w:pPr>
      <w:r w:rsidRPr="00042ACE">
        <w:rPr>
          <w:rFonts w:ascii="Cambria" w:hAnsi="Cambria"/>
        </w:rPr>
        <w:t xml:space="preserve">Dividing requirements (when economically feasible) into smaller tasks or quantities to permit maximum participation by SMBs and </w:t>
      </w:r>
      <w:proofErr w:type="gramStart"/>
      <w:r w:rsidRPr="00042ACE">
        <w:rPr>
          <w:rFonts w:ascii="Cambria" w:hAnsi="Cambria"/>
        </w:rPr>
        <w:t>WBEs;</w:t>
      </w:r>
      <w:proofErr w:type="gramEnd"/>
    </w:p>
    <w:p w14:paraId="4BD69E45" w14:textId="77777777" w:rsidR="00042ACE" w:rsidRPr="00042ACE" w:rsidRDefault="00042ACE" w:rsidP="00042ACE">
      <w:pPr>
        <w:pStyle w:val="ListParagraph"/>
        <w:numPr>
          <w:ilvl w:val="0"/>
          <w:numId w:val="23"/>
        </w:numPr>
        <w:rPr>
          <w:rStyle w:val="s1ppyq"/>
          <w:rFonts w:ascii="Cambria" w:hAnsi="Cambria"/>
        </w:rPr>
      </w:pPr>
      <w:r w:rsidRPr="00042ACE">
        <w:rPr>
          <w:rStyle w:val="s1ppyq"/>
          <w:color w:val="000000"/>
        </w:rPr>
        <w:t xml:space="preserve">Establishing delivery schedules (where the requirement permits) which encourage participation by SMBs and </w:t>
      </w:r>
      <w:proofErr w:type="gramStart"/>
      <w:r w:rsidRPr="00042ACE">
        <w:rPr>
          <w:rStyle w:val="s1ppyq"/>
          <w:color w:val="000000"/>
        </w:rPr>
        <w:t>WBEs;</w:t>
      </w:r>
      <w:proofErr w:type="gramEnd"/>
    </w:p>
    <w:p w14:paraId="1481DBE6" w14:textId="77777777" w:rsidR="00042ACE" w:rsidRPr="00042ACE" w:rsidRDefault="00042ACE" w:rsidP="00042ACE">
      <w:pPr>
        <w:pStyle w:val="ListParagraph"/>
        <w:numPr>
          <w:ilvl w:val="0"/>
          <w:numId w:val="23"/>
        </w:numPr>
        <w:rPr>
          <w:rStyle w:val="s1ppyq"/>
          <w:rFonts w:ascii="Cambria" w:hAnsi="Cambria"/>
        </w:rPr>
      </w:pPr>
      <w:r w:rsidRPr="00042ACE">
        <w:rPr>
          <w:rStyle w:val="s1ppyq"/>
          <w:color w:val="000000"/>
        </w:rPr>
        <w:t>Using the services and assistance, as appropriate, of organizations such as the Small Business Administration and the Minority Business Development Agency of the Department of Commerce; and</w:t>
      </w:r>
    </w:p>
    <w:p w14:paraId="20A9F91A" w14:textId="0E23A327" w:rsidR="000A5FA7" w:rsidRPr="00556CDE" w:rsidRDefault="00042ACE" w:rsidP="000A5FA7">
      <w:pPr>
        <w:pStyle w:val="ListParagraph"/>
        <w:numPr>
          <w:ilvl w:val="0"/>
          <w:numId w:val="23"/>
        </w:numPr>
        <w:rPr>
          <w:rFonts w:ascii="Cambria" w:hAnsi="Cambria"/>
        </w:rPr>
      </w:pPr>
      <w:r w:rsidRPr="00042ACE">
        <w:rPr>
          <w:rStyle w:val="s1ppyq"/>
          <w:color w:val="000000"/>
        </w:rPr>
        <w:t>Requiring the prime contractor (if subcontracts are to be let) to take the affirmative steps listed above.</w:t>
      </w:r>
    </w:p>
    <w:p w14:paraId="405BB0F9" w14:textId="4BD8C365" w:rsidR="00556CDE" w:rsidRDefault="00556CDE" w:rsidP="00556CDE">
      <w:pPr>
        <w:rPr>
          <w:rFonts w:ascii="Cambria" w:hAnsi="Cambria"/>
          <w:b/>
          <w:bCs/>
        </w:rPr>
      </w:pPr>
      <w:r>
        <w:rPr>
          <w:rFonts w:ascii="Cambria" w:hAnsi="Cambria"/>
          <w:b/>
          <w:bCs/>
        </w:rPr>
        <w:t>Prequalified Bidders</w:t>
      </w:r>
    </w:p>
    <w:p w14:paraId="4FB07857" w14:textId="77777777" w:rsidR="00556CDE" w:rsidRDefault="00556CDE" w:rsidP="000A5FA7">
      <w:pPr>
        <w:rPr>
          <w:rFonts w:ascii="Cambria" w:hAnsi="Cambria"/>
        </w:rPr>
      </w:pPr>
      <w:r w:rsidRPr="00556CDE">
        <w:rPr>
          <w:rFonts w:ascii="Cambria" w:hAnsi="Cambria"/>
        </w:rPr>
        <w:t>All prequalified lists of persons, firms, or products used in acquiring goods and services must be current and include enough qualified sources to ensure maximum open and free competition. Also, the non-Federal entity must not preclude potential bidders from qualifying during the solicitation period.</w:t>
      </w:r>
    </w:p>
    <w:p w14:paraId="3805E779" w14:textId="4E04651B" w:rsidR="00556CDE" w:rsidRDefault="00AC5871" w:rsidP="00556CDE">
      <w:pPr>
        <w:rPr>
          <w:rFonts w:ascii="Cambria" w:hAnsi="Cambria"/>
          <w:b/>
          <w:bCs/>
        </w:rPr>
      </w:pPr>
      <w:r>
        <w:rPr>
          <w:rFonts w:ascii="Cambria" w:hAnsi="Cambria"/>
          <w:b/>
          <w:bCs/>
        </w:rPr>
        <w:t>Giving Preference to Domestic Businesses</w:t>
      </w:r>
    </w:p>
    <w:p w14:paraId="27A3EFE8" w14:textId="4899CC1A" w:rsidR="00AC5871" w:rsidRDefault="00AC5871" w:rsidP="00AC5871">
      <w:pPr>
        <w:rPr>
          <w:rFonts w:ascii="Cambria" w:hAnsi="Cambria"/>
        </w:rPr>
      </w:pPr>
      <w:r w:rsidRPr="00AC5871">
        <w:rPr>
          <w:rFonts w:ascii="Cambria" w:hAnsi="Cambria"/>
        </w:rPr>
        <w:t xml:space="preserve">As appropriate and to the extent consistent with law, the non-Federal entity should, to the greatest extent practicable under a Federal award, provide a preference for the purchase, acquisition, or use of goods, products, or materials </w:t>
      </w:r>
      <w:r w:rsidRPr="00AC5871">
        <w:rPr>
          <w:rFonts w:ascii="Cambria" w:hAnsi="Cambria"/>
          <w:u w:val="single"/>
        </w:rPr>
        <w:t>produced in the United States</w:t>
      </w:r>
      <w:r w:rsidRPr="00AC5871">
        <w:rPr>
          <w:rFonts w:ascii="Cambria" w:hAnsi="Cambria"/>
        </w:rPr>
        <w:t xml:space="preserve"> (including but not limited to iron, aluminum, steel, cement, and other </w:t>
      </w:r>
      <w:r w:rsidRPr="00AC5871">
        <w:rPr>
          <w:rFonts w:ascii="Cambria" w:hAnsi="Cambria"/>
          <w:u w:val="single"/>
        </w:rPr>
        <w:t>manufactured products</w:t>
      </w:r>
      <w:r w:rsidRPr="00AC5871">
        <w:rPr>
          <w:rFonts w:ascii="Cambria" w:hAnsi="Cambria"/>
        </w:rPr>
        <w:t>). See 2 CFR 200.322(b) for specific definitions of the underlined terms.</w:t>
      </w:r>
    </w:p>
    <w:p w14:paraId="4F37D72A" w14:textId="1CEADE35" w:rsidR="008F7F2D" w:rsidRPr="00AC5871" w:rsidRDefault="008F7F2D" w:rsidP="008F7F2D">
      <w:pPr>
        <w:pStyle w:val="ListParagraph"/>
        <w:rPr>
          <w:rFonts w:ascii="Cambria" w:hAnsi="Cambria"/>
        </w:rPr>
      </w:pPr>
      <w:r w:rsidRPr="00AC5871">
        <w:rPr>
          <w:rFonts w:ascii="Cambria" w:hAnsi="Cambria"/>
        </w:rPr>
        <w:t>These requirements must be included in all sub-awards, including all contracts and purchase orders for work or products under the award.</w:t>
      </w:r>
    </w:p>
    <w:p w14:paraId="086EE99F" w14:textId="3805679A" w:rsidR="00AC5871" w:rsidRDefault="00AC5871" w:rsidP="00AC5871">
      <w:pPr>
        <w:rPr>
          <w:rFonts w:ascii="Cambria" w:hAnsi="Cambria"/>
          <w:b/>
          <w:bCs/>
          <w:sz w:val="32"/>
          <w:szCs w:val="32"/>
        </w:rPr>
      </w:pPr>
      <w:r>
        <w:rPr>
          <w:rFonts w:ascii="Cambria" w:hAnsi="Cambria"/>
          <w:b/>
          <w:bCs/>
          <w:sz w:val="32"/>
          <w:szCs w:val="32"/>
        </w:rPr>
        <w:t>What Does the Uniform Guidance Say about Procurement Solicitations?</w:t>
      </w:r>
    </w:p>
    <w:p w14:paraId="7C235953" w14:textId="77777777" w:rsidR="00AC5871" w:rsidRPr="00AC5871" w:rsidRDefault="00AC5871" w:rsidP="00AC5871">
      <w:pPr>
        <w:rPr>
          <w:rFonts w:ascii="Cambria" w:hAnsi="Cambria"/>
        </w:rPr>
      </w:pPr>
      <w:r w:rsidRPr="00AC5871">
        <w:rPr>
          <w:rFonts w:ascii="Cambria" w:hAnsi="Cambria"/>
        </w:rPr>
        <w:t>The non-Federal entity must have written procedures for procurement transactions. These procedures must ensure that all solicitations:</w:t>
      </w:r>
    </w:p>
    <w:p w14:paraId="7326C7F9" w14:textId="77777777" w:rsidR="00AC5871" w:rsidRPr="00AC5871" w:rsidRDefault="00AC5871" w:rsidP="00AC5871">
      <w:pPr>
        <w:rPr>
          <w:rFonts w:ascii="Cambria" w:hAnsi="Cambria"/>
        </w:rPr>
      </w:pPr>
    </w:p>
    <w:p w14:paraId="35C55129" w14:textId="795B50DF" w:rsidR="00556CDE" w:rsidRDefault="00AC5871" w:rsidP="000A5FA7">
      <w:pPr>
        <w:pStyle w:val="ListParagraph"/>
        <w:numPr>
          <w:ilvl w:val="0"/>
          <w:numId w:val="24"/>
        </w:numPr>
        <w:rPr>
          <w:rFonts w:ascii="Cambria" w:hAnsi="Cambria"/>
        </w:rPr>
      </w:pPr>
      <w:r w:rsidRPr="00AC5871">
        <w:rPr>
          <w:rFonts w:ascii="Cambria" w:hAnsi="Cambria"/>
        </w:rPr>
        <w:t>Incorporate a clear and accurate description of the technical requirements for the material, product, or service to be procured. In competitive procurements, the description must not contain features which unduly restrict competition</w:t>
      </w:r>
      <w:r>
        <w:rPr>
          <w:rFonts w:ascii="Cambria" w:hAnsi="Cambria"/>
        </w:rPr>
        <w:t>.</w:t>
      </w:r>
    </w:p>
    <w:p w14:paraId="3F3A6F00" w14:textId="3FC133BC" w:rsidR="008F7F2D" w:rsidRDefault="008F7F2D" w:rsidP="008F7F2D">
      <w:pPr>
        <w:pStyle w:val="ListParagraph"/>
        <w:rPr>
          <w:rFonts w:ascii="Cambria" w:hAnsi="Cambria"/>
        </w:rPr>
      </w:pPr>
    </w:p>
    <w:p w14:paraId="2977A371" w14:textId="77777777" w:rsidR="008F7F2D" w:rsidRPr="008F7F2D" w:rsidRDefault="008F7F2D" w:rsidP="008F7F2D">
      <w:pPr>
        <w:pStyle w:val="ListParagraph"/>
        <w:ind w:left="1440"/>
        <w:rPr>
          <w:rFonts w:ascii="Cambria" w:hAnsi="Cambria"/>
        </w:rPr>
      </w:pPr>
      <w:r w:rsidRPr="008F7F2D">
        <w:rPr>
          <w:rFonts w:ascii="Cambria" w:hAnsi="Cambria"/>
        </w:rPr>
        <w:t xml:space="preserve">The description may include a statement of the qualitative nature of the material, </w:t>
      </w:r>
      <w:proofErr w:type="gramStart"/>
      <w:r w:rsidRPr="008F7F2D">
        <w:rPr>
          <w:rFonts w:ascii="Cambria" w:hAnsi="Cambria"/>
        </w:rPr>
        <w:t>product</w:t>
      </w:r>
      <w:proofErr w:type="gramEnd"/>
      <w:r w:rsidRPr="008F7F2D">
        <w:rPr>
          <w:rFonts w:ascii="Cambria" w:hAnsi="Cambria"/>
        </w:rPr>
        <w:t xml:space="preserve"> or service to be procured and, when necessary, must set forth those minimum essential characteristics and standards to which it must conform if it is to satisfy its intended use. Detailed product specifications should be avoided </w:t>
      </w:r>
      <w:proofErr w:type="gramStart"/>
      <w:r w:rsidRPr="008F7F2D">
        <w:rPr>
          <w:rFonts w:ascii="Cambria" w:hAnsi="Cambria"/>
        </w:rPr>
        <w:t>if at all possible</w:t>
      </w:r>
      <w:proofErr w:type="gramEnd"/>
      <w:r w:rsidRPr="008F7F2D">
        <w:rPr>
          <w:rFonts w:ascii="Cambria" w:hAnsi="Cambria"/>
        </w:rPr>
        <w:t xml:space="preserve">. </w:t>
      </w:r>
    </w:p>
    <w:p w14:paraId="6DC5F28D" w14:textId="77777777" w:rsidR="008F7F2D" w:rsidRPr="008F7F2D" w:rsidRDefault="008F7F2D" w:rsidP="008F7F2D">
      <w:pPr>
        <w:pStyle w:val="ListParagraph"/>
        <w:ind w:left="1440"/>
        <w:rPr>
          <w:rFonts w:ascii="Cambria" w:hAnsi="Cambria"/>
        </w:rPr>
      </w:pPr>
    </w:p>
    <w:p w14:paraId="665C2A59" w14:textId="17DE9FD7" w:rsidR="008F7F2D" w:rsidRPr="008F7F2D" w:rsidRDefault="008F7F2D" w:rsidP="008F7F2D">
      <w:pPr>
        <w:pStyle w:val="ListParagraph"/>
        <w:ind w:left="1440"/>
        <w:rPr>
          <w:rFonts w:ascii="Cambria" w:hAnsi="Cambria"/>
        </w:rPr>
      </w:pPr>
      <w:r w:rsidRPr="008F7F2D">
        <w:rPr>
          <w:rFonts w:ascii="Cambria" w:hAnsi="Cambria"/>
        </w:rPr>
        <w:t xml:space="preserve">When it is impractical or uneconomical to make a clear and accurate description of the technical requirements, a “brand name or equivalent” description may be used </w:t>
      </w:r>
      <w:proofErr w:type="gramStart"/>
      <w:r w:rsidRPr="008F7F2D">
        <w:rPr>
          <w:rFonts w:ascii="Cambria" w:hAnsi="Cambria"/>
        </w:rPr>
        <w:t>as a means to</w:t>
      </w:r>
      <w:proofErr w:type="gramEnd"/>
      <w:r w:rsidRPr="008F7F2D">
        <w:rPr>
          <w:rFonts w:ascii="Cambria" w:hAnsi="Cambria"/>
        </w:rPr>
        <w:t xml:space="preserve"> define the performance or other salient requirements of procurement. The specific features of the named brand which must be met by offers must be clearly stated.</w:t>
      </w:r>
      <w:r>
        <w:rPr>
          <w:rFonts w:ascii="Cambria" w:hAnsi="Cambria"/>
        </w:rPr>
        <w:br/>
      </w:r>
    </w:p>
    <w:p w14:paraId="71EA79E0" w14:textId="2885B4B0" w:rsidR="008F7F2D" w:rsidRPr="008F7F2D" w:rsidRDefault="008F7F2D" w:rsidP="008F7F2D">
      <w:pPr>
        <w:pStyle w:val="ListParagraph"/>
        <w:numPr>
          <w:ilvl w:val="0"/>
          <w:numId w:val="24"/>
        </w:numPr>
        <w:rPr>
          <w:rFonts w:ascii="Cambria" w:hAnsi="Cambria"/>
        </w:rPr>
      </w:pPr>
      <w:r w:rsidRPr="008F7F2D">
        <w:rPr>
          <w:rFonts w:ascii="Cambria" w:hAnsi="Cambria"/>
        </w:rPr>
        <w:t>Identify all requirements which the offerors must fulfill and all other factors to be used in evaluating bids or proposals.</w:t>
      </w:r>
    </w:p>
    <w:p w14:paraId="7D158B5D" w14:textId="13023905" w:rsidR="000A5FA7" w:rsidRDefault="000A5FA7" w:rsidP="000A5FA7">
      <w:pPr>
        <w:rPr>
          <w:rFonts w:ascii="Cambria" w:hAnsi="Cambria"/>
          <w:b/>
          <w:bCs/>
          <w:sz w:val="32"/>
          <w:szCs w:val="32"/>
        </w:rPr>
      </w:pPr>
      <w:r w:rsidRPr="000A5FA7">
        <w:rPr>
          <w:rFonts w:ascii="Cambria" w:hAnsi="Cambria"/>
          <w:b/>
          <w:bCs/>
          <w:sz w:val="32"/>
          <w:szCs w:val="32"/>
        </w:rPr>
        <w:t xml:space="preserve">What does the Uniform Guidance say about </w:t>
      </w:r>
      <w:r w:rsidR="008F7F2D">
        <w:rPr>
          <w:rFonts w:ascii="Cambria" w:hAnsi="Cambria"/>
          <w:b/>
          <w:bCs/>
          <w:sz w:val="32"/>
          <w:szCs w:val="32"/>
        </w:rPr>
        <w:t>Contracts</w:t>
      </w:r>
      <w:r w:rsidRPr="000A5FA7">
        <w:rPr>
          <w:rFonts w:ascii="Cambria" w:hAnsi="Cambria"/>
          <w:b/>
          <w:bCs/>
          <w:sz w:val="32"/>
          <w:szCs w:val="32"/>
        </w:rPr>
        <w:t>?</w:t>
      </w:r>
    </w:p>
    <w:p w14:paraId="5B329D7C" w14:textId="11E1FDAC" w:rsidR="008F7F2D" w:rsidRPr="008F7F2D" w:rsidRDefault="008F7F2D" w:rsidP="008F7F2D">
      <w:pPr>
        <w:rPr>
          <w:rFonts w:ascii="Cambria" w:hAnsi="Cambria"/>
        </w:rPr>
      </w:pPr>
      <w:r w:rsidRPr="008F7F2D">
        <w:rPr>
          <w:rFonts w:ascii="Cambria" w:hAnsi="Cambria"/>
        </w:rPr>
        <w:t>The non-Federal entity's contracts must contain the applicable provisions described in Appendix II of Part 200.</w:t>
      </w:r>
    </w:p>
    <w:p w14:paraId="3BB96F75" w14:textId="55E10BF1" w:rsidR="008F7F2D" w:rsidRPr="008F7F2D" w:rsidRDefault="008F7F2D" w:rsidP="008F7F2D">
      <w:pPr>
        <w:rPr>
          <w:rFonts w:ascii="Cambria" w:hAnsi="Cambria"/>
        </w:rPr>
      </w:pPr>
      <w:r w:rsidRPr="008F7F2D">
        <w:rPr>
          <w:rFonts w:ascii="Cambria" w:hAnsi="Cambria"/>
        </w:rPr>
        <w:t>The non-Federal entity may use a time-and-materials type contract only after a determination that no other contract is suitable and if the contract includes a ceiling price that the contractor exceeds at its own risk.</w:t>
      </w:r>
    </w:p>
    <w:p w14:paraId="0C4208B3" w14:textId="63019E1D" w:rsidR="008F7F2D" w:rsidRDefault="008F7F2D" w:rsidP="008F7F2D">
      <w:pPr>
        <w:rPr>
          <w:rFonts w:ascii="Cambria" w:hAnsi="Cambria"/>
        </w:rPr>
      </w:pPr>
      <w:r w:rsidRPr="008F7F2D">
        <w:rPr>
          <w:rFonts w:ascii="Cambria" w:hAnsi="Cambria"/>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w:t>
      </w:r>
    </w:p>
    <w:p w14:paraId="1AE189A6" w14:textId="4A5D6644" w:rsidR="008F7F2D" w:rsidRDefault="008F7F2D" w:rsidP="008F7F2D">
      <w:pPr>
        <w:rPr>
          <w:rFonts w:ascii="Cambria" w:hAnsi="Cambria"/>
          <w:b/>
          <w:bCs/>
        </w:rPr>
      </w:pPr>
      <w:r>
        <w:rPr>
          <w:rFonts w:ascii="Cambria" w:hAnsi="Cambria"/>
          <w:b/>
          <w:bCs/>
        </w:rPr>
        <w:t>Cost and Price</w:t>
      </w:r>
    </w:p>
    <w:p w14:paraId="5108B0D1" w14:textId="77777777" w:rsidR="008F7F2D" w:rsidRPr="008F7F2D" w:rsidRDefault="008F7F2D" w:rsidP="008F7F2D">
      <w:pPr>
        <w:rPr>
          <w:rFonts w:ascii="Cambria" w:hAnsi="Cambria"/>
        </w:rPr>
      </w:pPr>
      <w:r w:rsidRPr="008F7F2D">
        <w:rPr>
          <w:rFonts w:ascii="Cambria" w:hAnsi="Cambria"/>
        </w:rPr>
        <w:t xml:space="preserve">The non-Federal entity must perform a cost or price analysis in connection with every procurement action </w:t>
      </w:r>
      <w:proofErr w:type="gramStart"/>
      <w:r w:rsidRPr="008F7F2D">
        <w:rPr>
          <w:rFonts w:ascii="Cambria" w:hAnsi="Cambria"/>
        </w:rPr>
        <w:t>in excess of</w:t>
      </w:r>
      <w:proofErr w:type="gramEnd"/>
      <w:r w:rsidRPr="008F7F2D">
        <w:rPr>
          <w:rFonts w:ascii="Cambria" w:hAnsi="Cambria"/>
        </w:rPr>
        <w:t xml:space="preserve"> the Simplified Acquisition Threshold, including contract modifications. </w:t>
      </w:r>
    </w:p>
    <w:p w14:paraId="55742162" w14:textId="77777777" w:rsidR="008F7F2D" w:rsidRPr="008F7F2D" w:rsidRDefault="008F7F2D" w:rsidP="008F7F2D">
      <w:pPr>
        <w:rPr>
          <w:rFonts w:ascii="Cambria" w:hAnsi="Cambria"/>
        </w:rPr>
      </w:pPr>
    </w:p>
    <w:p w14:paraId="005B1392" w14:textId="08C93125" w:rsidR="008F7F2D" w:rsidRPr="008F7F2D" w:rsidRDefault="008F7F2D" w:rsidP="008F7F2D">
      <w:pPr>
        <w:rPr>
          <w:rFonts w:ascii="Cambria" w:hAnsi="Cambria"/>
        </w:rPr>
      </w:pPr>
      <w:r w:rsidRPr="008F7F2D">
        <w:rPr>
          <w:rFonts w:ascii="Cambria" w:hAnsi="Cambria"/>
        </w:rPr>
        <w:lastRenderedPageBreak/>
        <w:t xml:space="preserve">The method and degree of analysis is dependent on the facts surrounding the </w:t>
      </w:r>
      <w:proofErr w:type="gramStart"/>
      <w:r w:rsidRPr="008F7F2D">
        <w:rPr>
          <w:rFonts w:ascii="Cambria" w:hAnsi="Cambria"/>
        </w:rPr>
        <w:t>particular procurement</w:t>
      </w:r>
      <w:proofErr w:type="gramEnd"/>
      <w:r w:rsidRPr="008F7F2D">
        <w:rPr>
          <w:rFonts w:ascii="Cambria" w:hAnsi="Cambria"/>
        </w:rPr>
        <w:t xml:space="preserve"> situation, but as a starting point, the non-Federal entity must make independent estimates before receiving bids or proposals. </w:t>
      </w:r>
    </w:p>
    <w:p w14:paraId="46E9EE64" w14:textId="296F04BA" w:rsidR="008F7F2D" w:rsidRPr="008F7F2D" w:rsidRDefault="008F7F2D" w:rsidP="008F7F2D">
      <w:pPr>
        <w:rPr>
          <w:rFonts w:ascii="Cambria" w:hAnsi="Cambria"/>
        </w:rPr>
      </w:pPr>
      <w:r w:rsidRPr="008F7F2D">
        <w:rPr>
          <w:rFonts w:ascii="Cambria" w:hAnsi="Cambria"/>
        </w:rPr>
        <w:t xml:space="preserve">The non-Federal entity must negotiate profit as a separate element of the price for each contract in which there is no price competition </w:t>
      </w:r>
      <w:proofErr w:type="gramStart"/>
      <w:r w:rsidRPr="008F7F2D">
        <w:rPr>
          <w:rFonts w:ascii="Cambria" w:hAnsi="Cambria"/>
        </w:rPr>
        <w:t>and in all cases</w:t>
      </w:r>
      <w:proofErr w:type="gramEnd"/>
      <w:r w:rsidRPr="008F7F2D">
        <w:rPr>
          <w:rFonts w:ascii="Cambria" w:hAnsi="Cambria"/>
        </w:rPr>
        <w:t xml:space="preserve"> where cost analysis is performed.</w:t>
      </w:r>
    </w:p>
    <w:p w14:paraId="2F1A3149" w14:textId="66E486B7" w:rsidR="008F7F2D" w:rsidRDefault="008F7F2D" w:rsidP="008F7F2D">
      <w:pPr>
        <w:rPr>
          <w:rFonts w:ascii="Cambria" w:hAnsi="Cambria"/>
        </w:rPr>
      </w:pPr>
      <w:r w:rsidRPr="008F7F2D">
        <w:rPr>
          <w:rFonts w:ascii="Cambria" w:hAnsi="Cambria"/>
        </w:rPr>
        <w:t>Costs or prices based on estimated costs for contracts under the Federal award are allowable only to the extent described in Subpart E of Part 200. The non-Federal entity may reference its own cost principles provided they comply with the Federal cost principles.</w:t>
      </w:r>
    </w:p>
    <w:p w14:paraId="0E5C2777" w14:textId="18F169A6" w:rsidR="00EB34FE" w:rsidRDefault="00ED7F48" w:rsidP="008F7F2D">
      <w:pPr>
        <w:rPr>
          <w:rFonts w:ascii="Cambria" w:hAnsi="Cambria"/>
        </w:rPr>
      </w:pPr>
      <w:r w:rsidRPr="00ED7F48">
        <w:rPr>
          <w:rFonts w:ascii="Cambria" w:hAnsi="Cambria"/>
        </w:rPr>
        <w:t>The "cost plus a percentage of cost" and "percentage of construction cost" methods of contracting must not be used.</w:t>
      </w:r>
    </w:p>
    <w:p w14:paraId="40D5C95C" w14:textId="265B140F" w:rsidR="00EB34FE" w:rsidRDefault="00EB34FE" w:rsidP="00EB34FE">
      <w:pPr>
        <w:rPr>
          <w:rFonts w:ascii="Cambria" w:hAnsi="Cambria"/>
          <w:b/>
          <w:bCs/>
        </w:rPr>
      </w:pPr>
      <w:r>
        <w:rPr>
          <w:rFonts w:ascii="Cambria" w:hAnsi="Cambria"/>
          <w:b/>
          <w:bCs/>
        </w:rPr>
        <w:t>Bonding Requirements</w:t>
      </w:r>
    </w:p>
    <w:p w14:paraId="058DC999" w14:textId="5B413F41" w:rsidR="00EB34FE" w:rsidRPr="00EB34FE" w:rsidRDefault="00EB34FE" w:rsidP="00EB34FE">
      <w:pPr>
        <w:rPr>
          <w:rFonts w:ascii="Cambria" w:hAnsi="Cambria"/>
        </w:rPr>
      </w:pPr>
      <w:r w:rsidRPr="00EB34FE">
        <w:rPr>
          <w:rFonts w:ascii="Cambria" w:hAnsi="Cambria"/>
        </w:rPr>
        <w:t>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de</w:t>
      </w:r>
      <w:r>
        <w:rPr>
          <w:rFonts w:ascii="Cambria" w:hAnsi="Cambria"/>
        </w:rPr>
        <w:t>termined</w:t>
      </w:r>
      <w:r w:rsidRPr="00EB34FE">
        <w:rPr>
          <w:rFonts w:ascii="Cambria" w:hAnsi="Cambria"/>
        </w:rPr>
        <w:t xml:space="preserve"> that the Federal interest is adequately protected. </w:t>
      </w:r>
    </w:p>
    <w:p w14:paraId="4208BA56" w14:textId="07C0DF98" w:rsidR="00EB34FE" w:rsidRPr="00EB34FE" w:rsidRDefault="00EB34FE" w:rsidP="00EB34FE">
      <w:pPr>
        <w:rPr>
          <w:rFonts w:ascii="Cambria" w:hAnsi="Cambria"/>
        </w:rPr>
      </w:pPr>
      <w:r w:rsidRPr="00EB34FE">
        <w:rPr>
          <w:rFonts w:ascii="Cambria" w:hAnsi="Cambria"/>
        </w:rPr>
        <w:t>If such a determination has not been made, the minimum requirements must be as follows:</w:t>
      </w:r>
    </w:p>
    <w:p w14:paraId="63E14F9B" w14:textId="77777777" w:rsidR="00EB34FE" w:rsidRPr="00EB34FE" w:rsidRDefault="00EB34FE" w:rsidP="00EB34FE">
      <w:pPr>
        <w:pStyle w:val="ListParagraph"/>
        <w:numPr>
          <w:ilvl w:val="0"/>
          <w:numId w:val="25"/>
        </w:numPr>
        <w:rPr>
          <w:rFonts w:ascii="Cambria" w:hAnsi="Cambria"/>
        </w:rPr>
      </w:pPr>
      <w:r w:rsidRPr="00EB34FE">
        <w:rPr>
          <w:rFonts w:ascii="Cambria" w:hAnsi="Cambria"/>
        </w:rPr>
        <w:t>A bid guarantee from each bidder equivalent to five percent of the bid price. The “bid guarantee” must consist of a firm commitment such as a bid bond, certified check, or other negotiable instrument.</w:t>
      </w:r>
    </w:p>
    <w:p w14:paraId="55B7C965" w14:textId="77777777" w:rsidR="00EB34FE" w:rsidRPr="00EB34FE" w:rsidRDefault="00EB34FE" w:rsidP="00EB34FE">
      <w:pPr>
        <w:pStyle w:val="ListParagraph"/>
        <w:numPr>
          <w:ilvl w:val="0"/>
          <w:numId w:val="25"/>
        </w:numPr>
        <w:rPr>
          <w:rFonts w:ascii="Cambria" w:hAnsi="Cambria"/>
        </w:rPr>
      </w:pPr>
      <w:r w:rsidRPr="00EB34FE">
        <w:rPr>
          <w:rFonts w:ascii="Cambria" w:hAnsi="Cambria"/>
        </w:rPr>
        <w:t xml:space="preserve">A </w:t>
      </w:r>
      <w:r w:rsidRPr="00EB34FE">
        <w:rPr>
          <w:rFonts w:ascii="Cambria" w:hAnsi="Cambria"/>
          <w:u w:val="single"/>
        </w:rPr>
        <w:t>performance bond</w:t>
      </w:r>
      <w:r w:rsidRPr="00EB34FE">
        <w:rPr>
          <w:rFonts w:ascii="Cambria" w:hAnsi="Cambria"/>
        </w:rPr>
        <w:t xml:space="preserve"> on the part of the contractor for 100 percent of the contract price.</w:t>
      </w:r>
    </w:p>
    <w:p w14:paraId="10C1606F" w14:textId="0D4E8138" w:rsidR="00EB34FE" w:rsidRPr="00EB34FE" w:rsidRDefault="00EB34FE" w:rsidP="00EB34FE">
      <w:pPr>
        <w:pStyle w:val="ListParagraph"/>
        <w:numPr>
          <w:ilvl w:val="0"/>
          <w:numId w:val="25"/>
        </w:numPr>
        <w:rPr>
          <w:rFonts w:ascii="Cambria" w:hAnsi="Cambria"/>
        </w:rPr>
      </w:pPr>
      <w:r w:rsidRPr="00EB34FE">
        <w:rPr>
          <w:rFonts w:ascii="Cambria" w:hAnsi="Cambria"/>
        </w:rPr>
        <w:t xml:space="preserve">A </w:t>
      </w:r>
      <w:r w:rsidRPr="00EB34FE">
        <w:rPr>
          <w:rFonts w:ascii="Cambria" w:hAnsi="Cambria"/>
          <w:u w:val="single"/>
        </w:rPr>
        <w:t>payment bond</w:t>
      </w:r>
      <w:r w:rsidRPr="00EB34FE">
        <w:rPr>
          <w:rFonts w:ascii="Cambria" w:hAnsi="Cambria"/>
        </w:rPr>
        <w:t xml:space="preserve"> on the part of the contractor for 100 percent of the contract price.</w:t>
      </w:r>
    </w:p>
    <w:p w14:paraId="63B20E27" w14:textId="659D356C" w:rsidR="00EB34FE" w:rsidRDefault="00EB34FE" w:rsidP="00EB34FE">
      <w:pPr>
        <w:rPr>
          <w:rFonts w:ascii="Cambria" w:hAnsi="Cambria"/>
        </w:rPr>
      </w:pPr>
      <w:r w:rsidRPr="00EB34FE">
        <w:rPr>
          <w:rFonts w:ascii="Cambria" w:hAnsi="Cambria"/>
        </w:rPr>
        <w:t>See § 200.326 for specific definitions of the underlined terms.</w:t>
      </w:r>
    </w:p>
    <w:p w14:paraId="731A9857" w14:textId="3E344C1A" w:rsidR="004C4ADD" w:rsidRDefault="004C4ADD" w:rsidP="004C4ADD">
      <w:pPr>
        <w:rPr>
          <w:rFonts w:ascii="Cambria" w:hAnsi="Cambria"/>
          <w:b/>
          <w:bCs/>
          <w:sz w:val="32"/>
          <w:szCs w:val="32"/>
        </w:rPr>
      </w:pPr>
      <w:r>
        <w:rPr>
          <w:rFonts w:ascii="Cambria" w:hAnsi="Cambria"/>
          <w:b/>
          <w:bCs/>
          <w:sz w:val="32"/>
          <w:szCs w:val="32"/>
        </w:rPr>
        <w:t>Special Compliance Requirements for Recovered Materials</w:t>
      </w:r>
    </w:p>
    <w:p w14:paraId="0B0DA69A" w14:textId="67BE313D" w:rsidR="004C4ADD" w:rsidRPr="004C4ADD" w:rsidRDefault="004C4ADD" w:rsidP="004C4ADD">
      <w:pPr>
        <w:rPr>
          <w:rFonts w:ascii="Cambria" w:hAnsi="Cambria"/>
        </w:rPr>
      </w:pPr>
      <w:r w:rsidRPr="004C4ADD">
        <w:rPr>
          <w:rFonts w:ascii="Cambria" w:hAnsi="Cambria"/>
        </w:rPr>
        <w:t>A non-Federal entity that is a state agency or agency of a political subdivision of a state and its contractors must comply with section 6002 of the Solid Waste Disposal Act, as amended by the Resource Conservation and Recovery Act.</w:t>
      </w:r>
    </w:p>
    <w:p w14:paraId="6202A0DF" w14:textId="268CAAA7" w:rsidR="004C4ADD" w:rsidRPr="004C4ADD" w:rsidRDefault="004C4ADD" w:rsidP="004C4ADD">
      <w:pPr>
        <w:rPr>
          <w:rFonts w:ascii="Cambria" w:hAnsi="Cambria"/>
        </w:rPr>
      </w:pPr>
      <w:r w:rsidRPr="004C4ADD">
        <w:rPr>
          <w:rFonts w:ascii="Cambria" w:hAnsi="Cambria"/>
        </w:rPr>
        <w:t>The requirements of Section 6002 include:</w:t>
      </w:r>
    </w:p>
    <w:p w14:paraId="3B3B7370" w14:textId="77777777" w:rsidR="004C4ADD" w:rsidRDefault="004C4ADD" w:rsidP="004C4ADD">
      <w:pPr>
        <w:pStyle w:val="ListParagraph"/>
        <w:numPr>
          <w:ilvl w:val="0"/>
          <w:numId w:val="27"/>
        </w:numPr>
        <w:rPr>
          <w:rFonts w:ascii="Cambria" w:hAnsi="Cambria"/>
        </w:rPr>
      </w:pPr>
      <w:r w:rsidRPr="004C4ADD">
        <w:rPr>
          <w:rFonts w:ascii="Cambria" w:hAnsi="Cambria"/>
        </w:rPr>
        <w:t>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w:t>
      </w:r>
    </w:p>
    <w:p w14:paraId="10ACAAE8" w14:textId="77777777" w:rsidR="004C4ADD" w:rsidRDefault="004C4ADD" w:rsidP="004C4ADD">
      <w:pPr>
        <w:pStyle w:val="ListParagraph"/>
        <w:numPr>
          <w:ilvl w:val="0"/>
          <w:numId w:val="27"/>
        </w:numPr>
        <w:rPr>
          <w:rFonts w:ascii="Cambria" w:hAnsi="Cambria"/>
        </w:rPr>
      </w:pPr>
      <w:r w:rsidRPr="004C4ADD">
        <w:rPr>
          <w:rFonts w:ascii="Cambria" w:hAnsi="Cambria"/>
        </w:rPr>
        <w:lastRenderedPageBreak/>
        <w:t>procuring solid waste management services in a manner that maximizes energy and resource recovery; and</w:t>
      </w:r>
    </w:p>
    <w:p w14:paraId="6FC66665" w14:textId="77777777" w:rsidR="004C4ADD" w:rsidRDefault="004C4ADD" w:rsidP="004C4ADD">
      <w:pPr>
        <w:pStyle w:val="ListParagraph"/>
        <w:numPr>
          <w:ilvl w:val="0"/>
          <w:numId w:val="27"/>
        </w:numPr>
        <w:rPr>
          <w:rFonts w:ascii="Cambria" w:hAnsi="Cambria"/>
        </w:rPr>
      </w:pPr>
      <w:r w:rsidRPr="004C4ADD">
        <w:rPr>
          <w:rFonts w:ascii="Cambria" w:hAnsi="Cambria"/>
        </w:rPr>
        <w:t>establishing an affirmative procurement program for procurement of recovered materials identified in the EPA guidelines.</w:t>
      </w:r>
    </w:p>
    <w:p w14:paraId="6967F7BC" w14:textId="4B25449F" w:rsidR="00EB34FE" w:rsidRPr="004C4ADD" w:rsidRDefault="00EB34FE" w:rsidP="004C4ADD">
      <w:pPr>
        <w:rPr>
          <w:rFonts w:ascii="Cambria" w:hAnsi="Cambria"/>
        </w:rPr>
      </w:pPr>
      <w:r w:rsidRPr="004C4ADD">
        <w:rPr>
          <w:rFonts w:ascii="Cambria" w:hAnsi="Cambria"/>
          <w:b/>
          <w:bCs/>
          <w:sz w:val="32"/>
          <w:szCs w:val="32"/>
        </w:rPr>
        <w:t>Procurement Methods</w:t>
      </w:r>
    </w:p>
    <w:p w14:paraId="4C1DC252" w14:textId="776364A1" w:rsidR="000A6DFC" w:rsidRDefault="00063B2A" w:rsidP="00063B2A">
      <w:pPr>
        <w:rPr>
          <w:rFonts w:ascii="Cambria" w:hAnsi="Cambria"/>
        </w:rPr>
      </w:pPr>
      <w:r w:rsidRPr="00063B2A">
        <w:rPr>
          <w:rFonts w:ascii="Cambria" w:hAnsi="Cambria"/>
        </w:rPr>
        <w:t xml:space="preserve">The non-Federal entity must have and use documented procurement procedures, consistent with the standards of §§ 200.317 - 200.320 for any of the following methods of procurement used for the acquisition of property or services required under a </w:t>
      </w:r>
      <w:proofErr w:type="gramStart"/>
      <w:r w:rsidRPr="00063B2A">
        <w:rPr>
          <w:rFonts w:ascii="Cambria" w:hAnsi="Cambria"/>
        </w:rPr>
        <w:t>Federal</w:t>
      </w:r>
      <w:proofErr w:type="gramEnd"/>
      <w:r w:rsidRPr="00063B2A">
        <w:rPr>
          <w:rFonts w:ascii="Cambria" w:hAnsi="Cambria"/>
        </w:rPr>
        <w:t xml:space="preserve"> award or sub-award:</w:t>
      </w:r>
    </w:p>
    <w:p w14:paraId="77B21186" w14:textId="37BB5844" w:rsidR="00063B2A" w:rsidRDefault="00063B2A" w:rsidP="00063B2A">
      <w:pPr>
        <w:rPr>
          <w:rFonts w:ascii="Cambria" w:hAnsi="Cambria"/>
          <w:b/>
          <w:bCs/>
        </w:rPr>
      </w:pPr>
      <w:r>
        <w:rPr>
          <w:rFonts w:ascii="Cambria" w:hAnsi="Cambria"/>
          <w:b/>
          <w:bCs/>
        </w:rPr>
        <w:t>Formal Methods</w:t>
      </w:r>
    </w:p>
    <w:p w14:paraId="4149C685" w14:textId="77777777" w:rsidR="00063B2A" w:rsidRPr="00063B2A" w:rsidRDefault="00063B2A" w:rsidP="00063B2A">
      <w:pPr>
        <w:rPr>
          <w:rFonts w:ascii="Cambria" w:hAnsi="Cambria"/>
        </w:rPr>
      </w:pPr>
      <w:r w:rsidRPr="00063B2A">
        <w:rPr>
          <w:rFonts w:ascii="Cambria" w:hAnsi="Cambria"/>
        </w:rPr>
        <w:t>When the value of the procurement for property or services under a Federal financial assistance award exceeds the SAT, or a lower threshold established by a non-Federal entity, formal procurement methods are required.</w:t>
      </w:r>
    </w:p>
    <w:p w14:paraId="066BC9C5" w14:textId="77777777" w:rsidR="00063B2A" w:rsidRPr="00063B2A" w:rsidRDefault="00063B2A" w:rsidP="00063B2A">
      <w:pPr>
        <w:rPr>
          <w:rFonts w:ascii="Cambria" w:hAnsi="Cambria"/>
        </w:rPr>
      </w:pPr>
      <w:r w:rsidRPr="00063B2A">
        <w:rPr>
          <w:rFonts w:ascii="Cambria" w:hAnsi="Cambria"/>
        </w:rPr>
        <w:t>Formal procurement methods require following documented procedures. Formal procurement methods also require public advertising unless a non-competitive procurement can be used.</w:t>
      </w:r>
    </w:p>
    <w:p w14:paraId="537C36AF" w14:textId="5F4AB89B" w:rsidR="00063B2A" w:rsidRDefault="00063B2A" w:rsidP="00063B2A">
      <w:pPr>
        <w:rPr>
          <w:rFonts w:ascii="Cambria" w:hAnsi="Cambria"/>
        </w:rPr>
      </w:pPr>
      <w:r w:rsidRPr="00063B2A">
        <w:rPr>
          <w:rFonts w:ascii="Cambria" w:hAnsi="Cambria"/>
        </w:rPr>
        <w:t>Formal procurement methods include:</w:t>
      </w:r>
    </w:p>
    <w:p w14:paraId="7C399622" w14:textId="72E5B49A" w:rsidR="00063B2A" w:rsidRDefault="00063B2A" w:rsidP="00063B2A">
      <w:pPr>
        <w:ind w:left="720"/>
        <w:rPr>
          <w:rFonts w:ascii="Cambria" w:hAnsi="Cambria"/>
        </w:rPr>
      </w:pPr>
      <w:r w:rsidRPr="00063B2A">
        <w:rPr>
          <w:rFonts w:ascii="Cambria" w:hAnsi="Cambria"/>
          <w:b/>
          <w:bCs/>
        </w:rPr>
        <w:t>Sealed bids:</w:t>
      </w:r>
      <w:r w:rsidRPr="00063B2A">
        <w:rPr>
          <w:rFonts w:ascii="Cambria" w:hAnsi="Cambria"/>
        </w:rPr>
        <w:t xml:space="preserve"> Bids are publicly solicited and a firm fixed-price contract (lump sum or unit price) is awarded to the responsible bidder whose bid is the lowest in price. This is the preferred method for construction procurement. For a detailed list of requirements, consult 2 CFR 200.320(b)(1).</w:t>
      </w:r>
      <w:r>
        <w:rPr>
          <w:rFonts w:ascii="Cambria" w:hAnsi="Cambria"/>
        </w:rPr>
        <w:br/>
      </w:r>
      <w:r>
        <w:rPr>
          <w:rFonts w:ascii="Cambria" w:hAnsi="Cambria"/>
        </w:rPr>
        <w:br/>
      </w:r>
      <w:r w:rsidRPr="00063B2A">
        <w:rPr>
          <w:rFonts w:ascii="Cambria" w:hAnsi="Cambria"/>
          <w:b/>
          <w:bCs/>
        </w:rPr>
        <w:t>Proposals:</w:t>
      </w:r>
      <w:r w:rsidRPr="00063B2A">
        <w:rPr>
          <w:rFonts w:ascii="Cambria" w:hAnsi="Cambria"/>
        </w:rPr>
        <w:t xml:space="preserve"> A fixed price or cost-reimbursement type contract is awarded. Proposals are generally used when conditions are not appropriate for the use of sealed bids. For a detailed list of requirements, consult 2 CFR 200.320(b)(2).</w:t>
      </w:r>
    </w:p>
    <w:p w14:paraId="28939FB1" w14:textId="70284216" w:rsidR="00063B2A" w:rsidRDefault="00063B2A" w:rsidP="00063B2A">
      <w:pPr>
        <w:rPr>
          <w:rFonts w:ascii="Cambria" w:hAnsi="Cambria"/>
          <w:b/>
          <w:bCs/>
        </w:rPr>
      </w:pPr>
      <w:r>
        <w:rPr>
          <w:rFonts w:ascii="Cambria" w:hAnsi="Cambria"/>
          <w:b/>
          <w:bCs/>
        </w:rPr>
        <w:t>Informal Methods</w:t>
      </w:r>
    </w:p>
    <w:p w14:paraId="5C55B4B1" w14:textId="29314304" w:rsidR="00CB1B26" w:rsidRPr="00CB1B26" w:rsidRDefault="00CB1B26" w:rsidP="00CB1B26">
      <w:pPr>
        <w:rPr>
          <w:rFonts w:ascii="Cambria" w:hAnsi="Cambria"/>
        </w:rPr>
      </w:pPr>
      <w:r w:rsidRPr="00CB1B26">
        <w:rPr>
          <w:rFonts w:ascii="Cambria" w:hAnsi="Cambria"/>
        </w:rPr>
        <w:t xml:space="preserve">When the value of the procurement for property or services under a </w:t>
      </w:r>
      <w:proofErr w:type="gramStart"/>
      <w:r w:rsidRPr="00CB1B26">
        <w:rPr>
          <w:rFonts w:ascii="Cambria" w:hAnsi="Cambria"/>
        </w:rPr>
        <w:t>Federal</w:t>
      </w:r>
      <w:proofErr w:type="gramEnd"/>
      <w:r w:rsidRPr="00CB1B26">
        <w:rPr>
          <w:rFonts w:ascii="Cambria" w:hAnsi="Cambria"/>
        </w:rPr>
        <w:t xml:space="preserve"> award does not exceed the simplified acquisition threshold (SAT), as defined in § 200.1, or a lower threshold established by a non-Federal entity, formal procurement methods are not required. </w:t>
      </w:r>
    </w:p>
    <w:p w14:paraId="65802033" w14:textId="61E4B490" w:rsidR="00CB1B26" w:rsidRPr="00CB1B26" w:rsidRDefault="00CB1B26" w:rsidP="00CB1B26">
      <w:pPr>
        <w:rPr>
          <w:rFonts w:ascii="Cambria" w:hAnsi="Cambria"/>
        </w:rPr>
      </w:pPr>
      <w:r w:rsidRPr="00CB1B26">
        <w:rPr>
          <w:rFonts w:ascii="Cambria" w:hAnsi="Cambria"/>
        </w:rPr>
        <w:t>The non-Federal entity may use informal procurement methods to expedite the completion of its transactions and minimize the associated administrative burden and cost.</w:t>
      </w:r>
    </w:p>
    <w:p w14:paraId="1501CC79" w14:textId="010DEC44" w:rsidR="00CB1B26" w:rsidRDefault="00CB1B26" w:rsidP="00CB1B26">
      <w:pPr>
        <w:rPr>
          <w:rFonts w:ascii="Cambria" w:hAnsi="Cambria"/>
        </w:rPr>
      </w:pPr>
      <w:r w:rsidRPr="00CB1B26">
        <w:rPr>
          <w:rFonts w:ascii="Cambria" w:hAnsi="Cambria"/>
        </w:rPr>
        <w:t>Informal procurement methods include:</w:t>
      </w:r>
    </w:p>
    <w:p w14:paraId="0B14FB80" w14:textId="298A3AC0" w:rsidR="00CB1B26" w:rsidRPr="00CB1B26" w:rsidRDefault="00CB1B26" w:rsidP="00CB1B26">
      <w:pPr>
        <w:ind w:left="720"/>
        <w:rPr>
          <w:rFonts w:ascii="Cambria" w:hAnsi="Cambria"/>
        </w:rPr>
      </w:pPr>
      <w:r w:rsidRPr="00CB1B26">
        <w:rPr>
          <w:rFonts w:ascii="Cambria" w:hAnsi="Cambria"/>
          <w:b/>
          <w:bCs/>
        </w:rPr>
        <w:t>Micro-purchases:</w:t>
      </w:r>
      <w:r w:rsidRPr="00CB1B26">
        <w:rPr>
          <w:rFonts w:ascii="Cambria" w:hAnsi="Cambria"/>
        </w:rPr>
        <w:t xml:space="preserve"> a purchase of supplies or services, the aggregate amount of which does not exceed the micro-purchase threshold (consult 48 CFR 2.101 “Micro purchase threshold” for amounts).</w:t>
      </w:r>
    </w:p>
    <w:p w14:paraId="0E2DA9EC" w14:textId="3F012236" w:rsidR="00CB1B26" w:rsidRDefault="00CB1B26" w:rsidP="00CB1B26">
      <w:pPr>
        <w:ind w:left="720"/>
        <w:rPr>
          <w:rFonts w:ascii="Cambria" w:hAnsi="Cambria"/>
        </w:rPr>
      </w:pPr>
      <w:r w:rsidRPr="00CB1B26">
        <w:rPr>
          <w:rFonts w:ascii="Cambria" w:hAnsi="Cambria"/>
          <w:b/>
          <w:bCs/>
        </w:rPr>
        <w:lastRenderedPageBreak/>
        <w:t>Small purchases:</w:t>
      </w:r>
      <w:r w:rsidRPr="00CB1B26">
        <w:rPr>
          <w:rFonts w:ascii="Cambria" w:hAnsi="Cambria"/>
        </w:rPr>
        <w:t xml:space="preserve"> The acquisition of property or services, the aggregate dollar amount of which is higher than the micro-purchase threshold but does not exceed the simplified acquisition threshold. The non-Federal entity is responsible for determining an appropriate simplified acquisition threshold based on internal controls.</w:t>
      </w:r>
    </w:p>
    <w:p w14:paraId="7D07C4C1" w14:textId="1DEFD66D" w:rsidR="00063B2A" w:rsidRDefault="00063B2A" w:rsidP="00CB1B26">
      <w:pPr>
        <w:rPr>
          <w:rFonts w:ascii="Cambria" w:hAnsi="Cambria"/>
          <w:b/>
          <w:bCs/>
        </w:rPr>
      </w:pPr>
      <w:r>
        <w:rPr>
          <w:rFonts w:ascii="Cambria" w:hAnsi="Cambria"/>
          <w:b/>
          <w:bCs/>
        </w:rPr>
        <w:t>Non-Competitive Methods</w:t>
      </w:r>
    </w:p>
    <w:p w14:paraId="74B2738C" w14:textId="76B9C487" w:rsidR="00063B2A" w:rsidRDefault="00CB1B26" w:rsidP="00CB1B26">
      <w:pPr>
        <w:rPr>
          <w:rFonts w:ascii="Cambria" w:hAnsi="Cambria"/>
        </w:rPr>
      </w:pPr>
      <w:r w:rsidRPr="00CB1B26">
        <w:rPr>
          <w:rFonts w:ascii="Cambria" w:hAnsi="Cambria"/>
        </w:rPr>
        <w:t>There are specific circumstances in which noncompetitive procurement can be used. Noncompetitive procurement can only be awarded if one or more of the following circumstances apply:</w:t>
      </w:r>
    </w:p>
    <w:p w14:paraId="495DCFCC" w14:textId="45364D09" w:rsidR="00CB1B26" w:rsidRPr="00CB1B26" w:rsidRDefault="00CB1B26" w:rsidP="00CB1B26">
      <w:pPr>
        <w:pStyle w:val="ListParagraph"/>
        <w:numPr>
          <w:ilvl w:val="0"/>
          <w:numId w:val="26"/>
        </w:numPr>
        <w:rPr>
          <w:rFonts w:ascii="Cambria" w:hAnsi="Cambria"/>
        </w:rPr>
      </w:pPr>
      <w:r w:rsidRPr="00CB1B26">
        <w:rPr>
          <w:rFonts w:ascii="Cambria" w:hAnsi="Cambria"/>
        </w:rPr>
        <w:t xml:space="preserve">The acquisition of property or services, the aggregate dollar amount of which does not exceed the micro-purchase </w:t>
      </w:r>
      <w:proofErr w:type="gramStart"/>
      <w:r w:rsidRPr="00CB1B26">
        <w:rPr>
          <w:rFonts w:ascii="Cambria" w:hAnsi="Cambria"/>
        </w:rPr>
        <w:t>threshold;</w:t>
      </w:r>
      <w:proofErr w:type="gramEnd"/>
    </w:p>
    <w:p w14:paraId="2EF9ADEF" w14:textId="24685493" w:rsidR="00CB1B26" w:rsidRPr="00CB1B26" w:rsidRDefault="00CB1B26" w:rsidP="00CB1B26">
      <w:pPr>
        <w:pStyle w:val="ListParagraph"/>
        <w:numPr>
          <w:ilvl w:val="0"/>
          <w:numId w:val="26"/>
        </w:numPr>
        <w:rPr>
          <w:rFonts w:ascii="Cambria" w:hAnsi="Cambria"/>
        </w:rPr>
      </w:pPr>
      <w:r w:rsidRPr="00CB1B26">
        <w:rPr>
          <w:rFonts w:ascii="Cambria" w:hAnsi="Cambria"/>
        </w:rPr>
        <w:t xml:space="preserve">The item is available only from a single </w:t>
      </w:r>
      <w:proofErr w:type="gramStart"/>
      <w:r w:rsidRPr="00CB1B26">
        <w:rPr>
          <w:rFonts w:ascii="Cambria" w:hAnsi="Cambria"/>
        </w:rPr>
        <w:t>source;</w:t>
      </w:r>
      <w:proofErr w:type="gramEnd"/>
    </w:p>
    <w:p w14:paraId="3B928816" w14:textId="5A851E74" w:rsidR="00CB1B26" w:rsidRPr="00CB1B26" w:rsidRDefault="00CB1B26" w:rsidP="00CB1B26">
      <w:pPr>
        <w:pStyle w:val="ListParagraph"/>
        <w:numPr>
          <w:ilvl w:val="0"/>
          <w:numId w:val="26"/>
        </w:numPr>
        <w:rPr>
          <w:rFonts w:ascii="Cambria" w:hAnsi="Cambria"/>
        </w:rPr>
      </w:pPr>
      <w:r w:rsidRPr="00CB1B26">
        <w:rPr>
          <w:rFonts w:ascii="Cambria" w:hAnsi="Cambria"/>
        </w:rPr>
        <w:t>The public exigency or emergency for the requirement will not permit a delay resulting from publicizing a competitive solicitation;</w:t>
      </w:r>
    </w:p>
    <w:p w14:paraId="7F7B7ACC" w14:textId="378531EB" w:rsidR="00CB1B26" w:rsidRPr="00CB1B26" w:rsidRDefault="00CB1B26" w:rsidP="00CB1B26">
      <w:pPr>
        <w:pStyle w:val="ListParagraph"/>
        <w:numPr>
          <w:ilvl w:val="0"/>
          <w:numId w:val="26"/>
        </w:numPr>
        <w:rPr>
          <w:rFonts w:ascii="Cambria" w:hAnsi="Cambria"/>
        </w:rPr>
      </w:pPr>
      <w:r w:rsidRPr="00CB1B26">
        <w:rPr>
          <w:rFonts w:ascii="Cambria" w:hAnsi="Cambria"/>
        </w:rPr>
        <w:t>The Federal awarding agency or pass-through entity expressly authorizes a noncompetitive procurement in response to a written request from the non-Federal entity; or</w:t>
      </w:r>
    </w:p>
    <w:p w14:paraId="4FB56461" w14:textId="23CCA23D" w:rsidR="00CB1B26" w:rsidRDefault="00CB1B26" w:rsidP="00CB1B26">
      <w:pPr>
        <w:pStyle w:val="ListParagraph"/>
        <w:numPr>
          <w:ilvl w:val="0"/>
          <w:numId w:val="26"/>
        </w:numPr>
        <w:rPr>
          <w:rFonts w:ascii="Cambria" w:hAnsi="Cambria"/>
        </w:rPr>
      </w:pPr>
      <w:r w:rsidRPr="00CB1B26">
        <w:rPr>
          <w:rFonts w:ascii="Cambria" w:hAnsi="Cambria"/>
        </w:rPr>
        <w:t xml:space="preserve">After solicitation of </w:t>
      </w:r>
      <w:proofErr w:type="gramStart"/>
      <w:r w:rsidRPr="00CB1B26">
        <w:rPr>
          <w:rFonts w:ascii="Cambria" w:hAnsi="Cambria"/>
        </w:rPr>
        <w:t>a number of</w:t>
      </w:r>
      <w:proofErr w:type="gramEnd"/>
      <w:r w:rsidRPr="00CB1B26">
        <w:rPr>
          <w:rFonts w:ascii="Cambria" w:hAnsi="Cambria"/>
        </w:rPr>
        <w:t xml:space="preserve"> sources, competition is determined inadequate.</w:t>
      </w:r>
    </w:p>
    <w:p w14:paraId="028A653B" w14:textId="1A83139E" w:rsidR="004C4ADD" w:rsidRDefault="004C4ADD" w:rsidP="00524483">
      <w:pPr>
        <w:rPr>
          <w:rFonts w:ascii="Cambria" w:hAnsi="Cambria"/>
          <w:b/>
          <w:bCs/>
          <w:sz w:val="32"/>
          <w:szCs w:val="32"/>
        </w:rPr>
      </w:pPr>
      <w:r w:rsidRPr="004C4ADD">
        <w:rPr>
          <w:rFonts w:ascii="Cambria" w:hAnsi="Cambria"/>
          <w:b/>
          <w:bCs/>
          <w:sz w:val="32"/>
          <w:szCs w:val="32"/>
        </w:rPr>
        <w:t xml:space="preserve">What does the Uniform Guidance say about </w:t>
      </w:r>
      <w:r>
        <w:rPr>
          <w:rFonts w:ascii="Cambria" w:hAnsi="Cambria"/>
          <w:b/>
          <w:bCs/>
          <w:sz w:val="32"/>
          <w:szCs w:val="32"/>
        </w:rPr>
        <w:t>Federal Awarding Agency or Pass-Through Entity Reviews</w:t>
      </w:r>
      <w:r w:rsidRPr="004C4ADD">
        <w:rPr>
          <w:rFonts w:ascii="Cambria" w:hAnsi="Cambria"/>
          <w:b/>
          <w:bCs/>
          <w:sz w:val="32"/>
          <w:szCs w:val="32"/>
        </w:rPr>
        <w:t>?</w:t>
      </w:r>
    </w:p>
    <w:p w14:paraId="0C906242" w14:textId="36DED587" w:rsidR="004C4ADD" w:rsidRPr="004C4ADD" w:rsidRDefault="004C4ADD" w:rsidP="004C4ADD">
      <w:pPr>
        <w:rPr>
          <w:rFonts w:ascii="Cambria" w:hAnsi="Cambria"/>
        </w:rPr>
      </w:pPr>
      <w:r w:rsidRPr="004C4ADD">
        <w:rPr>
          <w:rFonts w:ascii="Cambria" w:hAnsi="Cambria"/>
        </w:rPr>
        <w:t xml:space="preserve">The Federal agency that awarded the grant, as well as pass-through entities overseeing subrecipients, may request the technical specifications on proposed procurements </w:t>
      </w:r>
      <w:proofErr w:type="gramStart"/>
      <w:r w:rsidRPr="004C4ADD">
        <w:rPr>
          <w:rFonts w:ascii="Cambria" w:hAnsi="Cambria"/>
        </w:rPr>
        <w:t>in order to</w:t>
      </w:r>
      <w:proofErr w:type="gramEnd"/>
      <w:r w:rsidRPr="004C4ADD">
        <w:rPr>
          <w:rFonts w:ascii="Cambria" w:hAnsi="Cambria"/>
        </w:rPr>
        <w:t xml:space="preserve"> ensure that the item or service specified is the one being proposed for acquisition. The non-Federal entity must make this information available for review upon request.</w:t>
      </w:r>
    </w:p>
    <w:p w14:paraId="63F4D876" w14:textId="62BA4CC3" w:rsidR="004C4ADD" w:rsidRPr="004C4ADD" w:rsidRDefault="004C4ADD" w:rsidP="004C4ADD">
      <w:pPr>
        <w:rPr>
          <w:rFonts w:ascii="Cambria" w:hAnsi="Cambria"/>
        </w:rPr>
      </w:pPr>
      <w:r w:rsidRPr="004C4ADD">
        <w:rPr>
          <w:rFonts w:ascii="Cambria" w:hAnsi="Cambria"/>
        </w:rPr>
        <w:t>This review typically takes place prior to the time the specification is incorporated into a solicitation document. However, non-Federal entities may request a delay until after the solicitation has been developed, subject to approval by the pass-through entity or Federal agency.</w:t>
      </w:r>
    </w:p>
    <w:p w14:paraId="7C78C7A9" w14:textId="2AA2D092" w:rsidR="00524483" w:rsidRDefault="004C4ADD" w:rsidP="004C4ADD">
      <w:pPr>
        <w:rPr>
          <w:rFonts w:ascii="Cambria" w:hAnsi="Cambria"/>
        </w:rPr>
      </w:pPr>
      <w:r w:rsidRPr="004C4ADD">
        <w:rPr>
          <w:rFonts w:ascii="Cambria" w:hAnsi="Cambria"/>
        </w:rPr>
        <w:t>To facilitate the review, the non-Federal entity must provide the reviewing agency with any relevant procurement documents, such as requests for proposals, invitations for bids, or independent cost estimates, when:</w:t>
      </w:r>
    </w:p>
    <w:p w14:paraId="6BB89D17" w14:textId="2BC16824" w:rsidR="004C4ADD" w:rsidRPr="004C4ADD" w:rsidRDefault="004C4ADD" w:rsidP="004C4ADD">
      <w:pPr>
        <w:pStyle w:val="ListParagraph"/>
        <w:numPr>
          <w:ilvl w:val="0"/>
          <w:numId w:val="28"/>
        </w:numPr>
        <w:rPr>
          <w:rFonts w:ascii="Cambria" w:hAnsi="Cambria"/>
        </w:rPr>
      </w:pPr>
      <w:r w:rsidRPr="004C4ADD">
        <w:rPr>
          <w:rFonts w:ascii="Cambria" w:hAnsi="Cambria"/>
        </w:rPr>
        <w:t xml:space="preserve">The non-Federal entity's procurement procedures or operation fails to comply with required procurement </w:t>
      </w:r>
      <w:proofErr w:type="gramStart"/>
      <w:r w:rsidRPr="004C4ADD">
        <w:rPr>
          <w:rFonts w:ascii="Cambria" w:hAnsi="Cambria"/>
        </w:rPr>
        <w:t>standards;</w:t>
      </w:r>
      <w:proofErr w:type="gramEnd"/>
    </w:p>
    <w:p w14:paraId="5F4F2376" w14:textId="4FC108FF" w:rsidR="004C4ADD" w:rsidRPr="004C4ADD" w:rsidRDefault="004C4ADD" w:rsidP="004C4ADD">
      <w:pPr>
        <w:pStyle w:val="ListParagraph"/>
        <w:numPr>
          <w:ilvl w:val="0"/>
          <w:numId w:val="28"/>
        </w:numPr>
        <w:rPr>
          <w:rFonts w:ascii="Cambria" w:hAnsi="Cambria"/>
        </w:rPr>
      </w:pPr>
      <w:r w:rsidRPr="004C4ADD">
        <w:rPr>
          <w:rFonts w:ascii="Cambria" w:hAnsi="Cambria"/>
        </w:rPr>
        <w:t xml:space="preserve">The procurement is expected to exceed the Simplified Acquisition Threshold and is to be awarded without competition; or </w:t>
      </w:r>
    </w:p>
    <w:p w14:paraId="7E45CF4C" w14:textId="250CC4F0" w:rsidR="004C4ADD" w:rsidRPr="004C4ADD" w:rsidRDefault="004C4ADD" w:rsidP="004C4ADD">
      <w:pPr>
        <w:pStyle w:val="ListParagraph"/>
        <w:numPr>
          <w:ilvl w:val="0"/>
          <w:numId w:val="28"/>
        </w:numPr>
        <w:rPr>
          <w:rFonts w:ascii="Cambria" w:hAnsi="Cambria"/>
        </w:rPr>
      </w:pPr>
      <w:r w:rsidRPr="004C4ADD">
        <w:rPr>
          <w:rFonts w:ascii="Cambria" w:hAnsi="Cambria"/>
        </w:rPr>
        <w:t xml:space="preserve">Only one bid or offer is received in response to a </w:t>
      </w:r>
      <w:proofErr w:type="gramStart"/>
      <w:r w:rsidRPr="004C4ADD">
        <w:rPr>
          <w:rFonts w:ascii="Cambria" w:hAnsi="Cambria"/>
        </w:rPr>
        <w:t>solicitation;</w:t>
      </w:r>
      <w:proofErr w:type="gramEnd"/>
    </w:p>
    <w:p w14:paraId="2CAD6E51" w14:textId="5C7CAC55" w:rsidR="004C4ADD" w:rsidRPr="004C4ADD" w:rsidRDefault="004C4ADD" w:rsidP="004C4ADD">
      <w:pPr>
        <w:pStyle w:val="ListParagraph"/>
        <w:numPr>
          <w:ilvl w:val="0"/>
          <w:numId w:val="28"/>
        </w:numPr>
        <w:rPr>
          <w:rFonts w:ascii="Cambria" w:hAnsi="Cambria"/>
        </w:rPr>
      </w:pPr>
      <w:r w:rsidRPr="004C4ADD">
        <w:rPr>
          <w:rFonts w:ascii="Cambria" w:hAnsi="Cambria"/>
        </w:rPr>
        <w:t xml:space="preserve">The procurement, which is expected to exceed the Simplified Acquisition Threshold, specifies a “brand name” </w:t>
      </w:r>
      <w:proofErr w:type="gramStart"/>
      <w:r w:rsidRPr="004C4ADD">
        <w:rPr>
          <w:rFonts w:ascii="Cambria" w:hAnsi="Cambria"/>
        </w:rPr>
        <w:t>product;</w:t>
      </w:r>
      <w:proofErr w:type="gramEnd"/>
    </w:p>
    <w:p w14:paraId="5603CCF0" w14:textId="35EC1F28" w:rsidR="004C4ADD" w:rsidRPr="004C4ADD" w:rsidRDefault="004C4ADD" w:rsidP="004C4ADD">
      <w:pPr>
        <w:pStyle w:val="ListParagraph"/>
        <w:numPr>
          <w:ilvl w:val="0"/>
          <w:numId w:val="28"/>
        </w:numPr>
        <w:rPr>
          <w:rFonts w:ascii="Cambria" w:hAnsi="Cambria"/>
        </w:rPr>
      </w:pPr>
      <w:r w:rsidRPr="004C4ADD">
        <w:rPr>
          <w:rFonts w:ascii="Cambria" w:hAnsi="Cambria"/>
        </w:rPr>
        <w:lastRenderedPageBreak/>
        <w:t>The proposed contract is more than the Simplified Acquisition Threshold and is to be awarded to a bidder other than the apparent low bidder under a sealed bid procurement; or</w:t>
      </w:r>
    </w:p>
    <w:p w14:paraId="75EBF61D" w14:textId="43284376" w:rsidR="004C4ADD" w:rsidRDefault="004C4ADD" w:rsidP="004C4ADD">
      <w:pPr>
        <w:pStyle w:val="ListParagraph"/>
        <w:numPr>
          <w:ilvl w:val="0"/>
          <w:numId w:val="28"/>
        </w:numPr>
        <w:rPr>
          <w:rFonts w:ascii="Cambria" w:hAnsi="Cambria"/>
        </w:rPr>
      </w:pPr>
      <w:r w:rsidRPr="004C4ADD">
        <w:rPr>
          <w:rFonts w:ascii="Cambria" w:hAnsi="Cambria"/>
        </w:rPr>
        <w:t>A proposed contract modification changes the scope of a contract or increases the contract amount by more than the Simplified Acquisition Threshold.</w:t>
      </w:r>
    </w:p>
    <w:p w14:paraId="7344F6CE" w14:textId="49B1728A" w:rsidR="004C4ADD" w:rsidRPr="004C4ADD" w:rsidRDefault="004C4ADD" w:rsidP="004C4ADD">
      <w:pPr>
        <w:rPr>
          <w:rFonts w:ascii="Cambria" w:hAnsi="Cambria"/>
        </w:rPr>
      </w:pPr>
      <w:r w:rsidRPr="004C4ADD">
        <w:rPr>
          <w:rFonts w:ascii="Cambria" w:hAnsi="Cambria"/>
        </w:rPr>
        <w:t>The non-Federal entity is exempt from the pre-procurement review if the Federal awarding agency or pass-through entity determines that its procurement systems comply with required standards.</w:t>
      </w:r>
    </w:p>
    <w:p w14:paraId="6E24051C" w14:textId="5E22B564" w:rsidR="004C4ADD" w:rsidRPr="004C4ADD" w:rsidRDefault="004C4ADD" w:rsidP="004C4ADD">
      <w:pPr>
        <w:rPr>
          <w:rFonts w:ascii="Cambria" w:hAnsi="Cambria"/>
        </w:rPr>
      </w:pPr>
      <w:r w:rsidRPr="004C4ADD">
        <w:rPr>
          <w:rFonts w:ascii="Cambria" w:hAnsi="Cambria"/>
        </w:rPr>
        <w:t xml:space="preserve">The non-Federal entity may request that its procurement system be reviewed by the Federal awarding agency or pass-through entity to determine whether its system meets these standards </w:t>
      </w:r>
      <w:proofErr w:type="gramStart"/>
      <w:r w:rsidRPr="004C4ADD">
        <w:rPr>
          <w:rFonts w:ascii="Cambria" w:hAnsi="Cambria"/>
        </w:rPr>
        <w:t>in order for</w:t>
      </w:r>
      <w:proofErr w:type="gramEnd"/>
      <w:r w:rsidRPr="004C4ADD">
        <w:rPr>
          <w:rFonts w:ascii="Cambria" w:hAnsi="Cambria"/>
        </w:rPr>
        <w:t xml:space="preserve"> its system to be certified. Generally, these reviews must occur where there is continuous high-dollar funding, and third-party contracts are awarded on a regular basis.</w:t>
      </w:r>
    </w:p>
    <w:p w14:paraId="7AB0D836" w14:textId="440F747D" w:rsidR="004C4ADD" w:rsidRDefault="004C4ADD" w:rsidP="004C4ADD">
      <w:pPr>
        <w:rPr>
          <w:rFonts w:ascii="Cambria" w:hAnsi="Cambria"/>
        </w:rPr>
      </w:pPr>
      <w:r w:rsidRPr="004C4ADD">
        <w:rPr>
          <w:rFonts w:ascii="Cambria" w:hAnsi="Cambria"/>
        </w:rPr>
        <w:t xml:space="preserve">The non-Federal entity may also choose to self-certify its procurement systems (this does not limit the Federal awarding agency's right to conduct a review). It must provide assurances, in writing, of compliance with required procurement standards. The non-Federal entity must cite specific policies, procedures, regulations, or standards as </w:t>
      </w:r>
      <w:proofErr w:type="gramStart"/>
      <w:r w:rsidRPr="004C4ADD">
        <w:rPr>
          <w:rFonts w:ascii="Cambria" w:hAnsi="Cambria"/>
        </w:rPr>
        <w:t>being in compliance with</w:t>
      </w:r>
      <w:proofErr w:type="gramEnd"/>
      <w:r w:rsidRPr="004C4ADD">
        <w:rPr>
          <w:rFonts w:ascii="Cambria" w:hAnsi="Cambria"/>
        </w:rPr>
        <w:t xml:space="preserve"> these requirements and have its system available for review.</w:t>
      </w:r>
    </w:p>
    <w:p w14:paraId="1FF4B6C7" w14:textId="77777777" w:rsidR="004C4ADD" w:rsidRDefault="004C4ADD">
      <w:pPr>
        <w:spacing w:after="160" w:line="259" w:lineRule="auto"/>
        <w:rPr>
          <w:rFonts w:ascii="Cambria" w:hAnsi="Cambria"/>
        </w:rPr>
      </w:pPr>
      <w:r>
        <w:rPr>
          <w:rFonts w:ascii="Cambria" w:hAnsi="Cambria"/>
        </w:rPr>
        <w:br w:type="page"/>
      </w:r>
    </w:p>
    <w:p w14:paraId="2D58D5D1" w14:textId="475BD8E1" w:rsidR="004C4ADD" w:rsidRDefault="004C4ADD" w:rsidP="004C4ADD">
      <w:pPr>
        <w:jc w:val="center"/>
        <w:rPr>
          <w:rStyle w:val="s1ppyq"/>
          <w:b/>
          <w:bCs/>
          <w:color w:val="2A5580"/>
        </w:rPr>
      </w:pPr>
      <w:r>
        <w:rPr>
          <w:rStyle w:val="s1ppyq"/>
          <w:b/>
          <w:bCs/>
          <w:color w:val="2A5580"/>
        </w:rPr>
        <w:lastRenderedPageBreak/>
        <w:t>Appendix II to Part 200 - Contract Provisions for Non-Federal Entity Contracts Under Federal Awards</w:t>
      </w:r>
    </w:p>
    <w:p w14:paraId="12BA4A82" w14:textId="0244D205" w:rsidR="004C4ADD" w:rsidRPr="004C4ADD" w:rsidRDefault="004C4ADD" w:rsidP="004C4ADD">
      <w:pPr>
        <w:rPr>
          <w:rFonts w:ascii="Cambria" w:hAnsi="Cambria"/>
        </w:rPr>
      </w:pPr>
      <w:r w:rsidRPr="004C4ADD">
        <w:rPr>
          <w:rFonts w:ascii="Cambria" w:hAnsi="Cambria"/>
        </w:rPr>
        <w:t xml:space="preserve">In addition to other provisions required by the Federal agency or non-Federal entity, all contracts made by the non-Federal entity under the Federal award must contain provisions covering the following, as applicable. </w:t>
      </w:r>
    </w:p>
    <w:p w14:paraId="303673B1" w14:textId="13E2E3AB" w:rsidR="004C4ADD" w:rsidRPr="004C4ADD" w:rsidRDefault="004C4ADD" w:rsidP="004C4ADD">
      <w:pPr>
        <w:rPr>
          <w:rFonts w:ascii="Cambria" w:hAnsi="Cambria"/>
        </w:rPr>
      </w:pPr>
      <w:r w:rsidRPr="004C4ADD">
        <w:rPr>
          <w:rFonts w:ascii="Cambria" w:hAnsi="Cambria"/>
        </w:rPr>
        <w:t xml:space="preserve">(A) Contracts for more than the simplified acquisition threshold,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 </w:t>
      </w:r>
    </w:p>
    <w:p w14:paraId="2A810AAD" w14:textId="08D9501B" w:rsidR="004C4ADD" w:rsidRPr="004C4ADD" w:rsidRDefault="004C4ADD" w:rsidP="004C4ADD">
      <w:pPr>
        <w:rPr>
          <w:rFonts w:ascii="Cambria" w:hAnsi="Cambria"/>
        </w:rPr>
      </w:pPr>
      <w:r w:rsidRPr="004C4ADD">
        <w:rPr>
          <w:rFonts w:ascii="Cambria" w:hAnsi="Cambria"/>
        </w:rPr>
        <w:t xml:space="preserve">(B) All contracts in excess of $10,000 must address termination for cause and for convenience by the non-Federal entity including the manner by which it will be </w:t>
      </w:r>
      <w:proofErr w:type="gramStart"/>
      <w:r w:rsidRPr="004C4ADD">
        <w:rPr>
          <w:rFonts w:ascii="Cambria" w:hAnsi="Cambria"/>
        </w:rPr>
        <w:t>effected</w:t>
      </w:r>
      <w:proofErr w:type="gramEnd"/>
      <w:r w:rsidRPr="004C4ADD">
        <w:rPr>
          <w:rFonts w:ascii="Cambria" w:hAnsi="Cambria"/>
        </w:rPr>
        <w:t xml:space="preserve"> and the basis for settlement. </w:t>
      </w:r>
    </w:p>
    <w:p w14:paraId="4FE18150" w14:textId="161398CB" w:rsidR="004C4ADD" w:rsidRPr="004C4ADD" w:rsidRDefault="004C4ADD" w:rsidP="004C4ADD">
      <w:pPr>
        <w:rPr>
          <w:rFonts w:ascii="Cambria" w:hAnsi="Cambria"/>
        </w:rPr>
      </w:pPr>
      <w:r w:rsidRPr="004C4ADD">
        <w:rPr>
          <w:rFonts w:ascii="Cambria" w:hAnsi="Cambria"/>
        </w:rPr>
        <w:t xml:space="preserve">(C)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14:paraId="6AE910DB" w14:textId="77777777" w:rsidR="004C4ADD" w:rsidRDefault="004C4ADD" w:rsidP="004C4ADD">
      <w:pPr>
        <w:rPr>
          <w:rFonts w:ascii="Cambria" w:hAnsi="Cambria"/>
        </w:rPr>
      </w:pPr>
      <w:r w:rsidRPr="004C4ADD">
        <w:rPr>
          <w:rFonts w:ascii="Cambria" w:hAnsi="Cambria"/>
        </w:rPr>
        <w:t xml:space="preserve">(D)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w:t>
      </w:r>
    </w:p>
    <w:p w14:paraId="35023CDF" w14:textId="77777777" w:rsidR="004C4ADD" w:rsidRDefault="004C4ADD" w:rsidP="004C4ADD">
      <w:pPr>
        <w:rPr>
          <w:rFonts w:ascii="Cambria" w:hAnsi="Cambria"/>
        </w:rPr>
      </w:pPr>
      <w:r w:rsidRPr="004C4ADD">
        <w:rPr>
          <w:rFonts w:ascii="Cambria" w:hAnsi="Cambria"/>
        </w:rPr>
        <w:t>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w:t>
      </w:r>
      <w:r>
        <w:rPr>
          <w:rFonts w:ascii="Cambria" w:hAnsi="Cambria"/>
        </w:rPr>
        <w:t xml:space="preserve"> </w:t>
      </w:r>
      <w:r w:rsidRPr="004C4ADD">
        <w:rPr>
          <w:rFonts w:ascii="Cambria" w:hAnsi="Cambria"/>
        </w:rPr>
        <w:t xml:space="preserve">the Federal awarding agency. </w:t>
      </w:r>
    </w:p>
    <w:p w14:paraId="00AD9482" w14:textId="31E5FAE6" w:rsidR="004C4ADD" w:rsidRPr="004C4ADD" w:rsidRDefault="004C4ADD" w:rsidP="004C4ADD">
      <w:pPr>
        <w:rPr>
          <w:rFonts w:ascii="Cambria" w:hAnsi="Cambria"/>
        </w:rPr>
      </w:pPr>
      <w:r w:rsidRPr="004C4ADD">
        <w:rPr>
          <w:rFonts w:ascii="Cambria" w:hAnsi="Cambria"/>
        </w:rPr>
        <w:t xml:space="preserve">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w:t>
      </w:r>
      <w:r w:rsidRPr="004C4ADD">
        <w:rPr>
          <w:rFonts w:ascii="Cambria" w:hAnsi="Cambria"/>
        </w:rPr>
        <w:lastRenderedPageBreak/>
        <w:t xml:space="preserve">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p>
    <w:p w14:paraId="7BF78812" w14:textId="77777777" w:rsidR="004C4ADD" w:rsidRDefault="004C4ADD" w:rsidP="004C4ADD">
      <w:pPr>
        <w:rPr>
          <w:rFonts w:ascii="Cambria" w:hAnsi="Cambria"/>
        </w:rPr>
      </w:pPr>
      <w:r w:rsidRPr="004C4ADD">
        <w:rPr>
          <w:rFonts w:ascii="Cambria" w:hAnsi="Cambria"/>
        </w:rPr>
        <w:t xml:space="preserve">(E)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w:t>
      </w:r>
    </w:p>
    <w:p w14:paraId="58A6C4A3" w14:textId="622C1472" w:rsidR="004C4ADD" w:rsidRPr="004C4ADD" w:rsidRDefault="004C4ADD" w:rsidP="004C4ADD">
      <w:pPr>
        <w:rPr>
          <w:rFonts w:ascii="Cambria" w:hAnsi="Cambria"/>
        </w:rPr>
      </w:pPr>
      <w:r w:rsidRPr="004C4ADD">
        <w:rPr>
          <w:rFonts w:ascii="Cambria" w:hAnsi="Cambria"/>
        </w:rPr>
        <w:t xml:space="preserve">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797D9EFA" w14:textId="501947A2" w:rsidR="004C4ADD" w:rsidRPr="004C4ADD" w:rsidRDefault="004C4ADD" w:rsidP="004C4ADD">
      <w:pPr>
        <w:rPr>
          <w:rFonts w:ascii="Cambria" w:hAnsi="Cambria"/>
        </w:rPr>
      </w:pPr>
      <w:r w:rsidRPr="004C4ADD">
        <w:rPr>
          <w:rFonts w:ascii="Cambria" w:hAnsi="Cambria"/>
        </w:rPr>
        <w:t xml:space="preserve">(F) Rights to Inventions Made Under a Contract or Agreement. If the Federal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w:t>
      </w:r>
    </w:p>
    <w:p w14:paraId="79D8E904" w14:textId="74DDF31B" w:rsidR="004C4ADD" w:rsidRPr="004C4ADD" w:rsidRDefault="004C4ADD" w:rsidP="004C4ADD">
      <w:pPr>
        <w:rPr>
          <w:rFonts w:ascii="Cambria" w:hAnsi="Cambria"/>
        </w:rPr>
      </w:pPr>
      <w:r w:rsidRPr="004C4ADD">
        <w:rPr>
          <w:rFonts w:ascii="Cambria" w:hAnsi="Cambria"/>
        </w:rPr>
        <w:t xml:space="preserve">(G) Clean Air Act (42 U.S.C. 7401-7671q.) and the Federal Water Pollution Control Act (33 U.S.C. 1251-1387), as amended -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14:paraId="4C21EFFA" w14:textId="77777777" w:rsidR="004C4ADD" w:rsidRPr="004C4ADD" w:rsidRDefault="004C4ADD" w:rsidP="004C4ADD">
      <w:pPr>
        <w:rPr>
          <w:rFonts w:ascii="Cambria" w:hAnsi="Cambria"/>
        </w:rPr>
      </w:pPr>
      <w:r w:rsidRPr="004C4ADD">
        <w:rPr>
          <w:rFonts w:ascii="Cambria" w:hAnsi="Cambria"/>
        </w:rPr>
        <w:t>(H) Debarment and Suspension (Executive Orders 12549 and 12689) - A contract award (see 2 CFR 180.220) must not be made to parties listed on the governmentwide exclusions in the</w:t>
      </w:r>
      <w:r>
        <w:rPr>
          <w:rFonts w:ascii="Cambria" w:hAnsi="Cambria"/>
        </w:rPr>
        <w:t xml:space="preserve"> </w:t>
      </w:r>
      <w:r w:rsidRPr="004C4ADD">
        <w:rPr>
          <w:rFonts w:ascii="Cambria" w:hAnsi="Cambria"/>
        </w:rPr>
        <w:t xml:space="preserve">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
    <w:p w14:paraId="6EA95F81" w14:textId="4AABC961" w:rsidR="004C4ADD" w:rsidRPr="004C4ADD" w:rsidRDefault="004C4ADD" w:rsidP="004C4ADD">
      <w:pPr>
        <w:rPr>
          <w:rFonts w:ascii="Cambria" w:hAnsi="Cambria"/>
        </w:rPr>
      </w:pPr>
      <w:r w:rsidRPr="004C4ADD">
        <w:rPr>
          <w:rFonts w:ascii="Cambria" w:hAnsi="Cambria"/>
        </w:rPr>
        <w:lastRenderedPageBreak/>
        <w:t xml:space="preserve">(I) Byrd Anti-Lobbying Amendment (31 U.S.C. 1352)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4C4ADD">
        <w:rPr>
          <w:rFonts w:ascii="Cambria" w:hAnsi="Cambria"/>
        </w:rPr>
        <w:t>tier</w:t>
      </w:r>
      <w:proofErr w:type="spellEnd"/>
      <w:r w:rsidRPr="004C4ADD">
        <w:rPr>
          <w:rFonts w:ascii="Cambria" w:hAnsi="Cambria"/>
        </w:rPr>
        <w:t xml:space="preserve"> up to the non-Federal award. </w:t>
      </w:r>
    </w:p>
    <w:p w14:paraId="0F37D09F" w14:textId="3B595A84" w:rsidR="004C4ADD" w:rsidRPr="004C4ADD" w:rsidRDefault="004C4ADD" w:rsidP="004C4ADD">
      <w:pPr>
        <w:rPr>
          <w:rFonts w:ascii="Cambria" w:hAnsi="Cambria"/>
        </w:rPr>
      </w:pPr>
      <w:r w:rsidRPr="004C4ADD">
        <w:rPr>
          <w:rFonts w:ascii="Cambria" w:hAnsi="Cambria"/>
        </w:rPr>
        <w:t xml:space="preserve">(J) See § 200.323. </w:t>
      </w:r>
    </w:p>
    <w:p w14:paraId="3C14C1D5" w14:textId="04012A5F" w:rsidR="004C4ADD" w:rsidRPr="004C4ADD" w:rsidRDefault="004C4ADD" w:rsidP="004C4ADD">
      <w:pPr>
        <w:rPr>
          <w:rFonts w:ascii="Cambria" w:hAnsi="Cambria"/>
        </w:rPr>
      </w:pPr>
      <w:r w:rsidRPr="004C4ADD">
        <w:rPr>
          <w:rFonts w:ascii="Cambria" w:hAnsi="Cambria"/>
        </w:rPr>
        <w:t>(K) See § 200.216.</w:t>
      </w:r>
    </w:p>
    <w:p w14:paraId="1AAD6F0E" w14:textId="3BC32F4A" w:rsidR="004C4ADD" w:rsidRPr="004C4ADD" w:rsidRDefault="004C4ADD" w:rsidP="004C4ADD">
      <w:pPr>
        <w:rPr>
          <w:rFonts w:ascii="Cambria" w:hAnsi="Cambria"/>
        </w:rPr>
      </w:pPr>
      <w:r w:rsidRPr="004C4ADD">
        <w:rPr>
          <w:rFonts w:ascii="Cambria" w:hAnsi="Cambria"/>
        </w:rPr>
        <w:t xml:space="preserve">(L) See § 200.322. </w:t>
      </w:r>
    </w:p>
    <w:p w14:paraId="31CC872F" w14:textId="0A8A3D16" w:rsidR="004C4ADD" w:rsidRPr="004C4ADD" w:rsidRDefault="004C4ADD" w:rsidP="004C4ADD">
      <w:pPr>
        <w:rPr>
          <w:rFonts w:ascii="Cambria" w:hAnsi="Cambria"/>
          <w:i/>
          <w:iCs/>
        </w:rPr>
      </w:pPr>
      <w:r w:rsidRPr="004C4ADD">
        <w:rPr>
          <w:rFonts w:ascii="Cambria" w:hAnsi="Cambria"/>
          <w:i/>
          <w:iCs/>
        </w:rPr>
        <w:t>[78 FR 78608, Dec. 26, 2013, as amended at 79 FR 75888, Dec. 19, 2014; 85 FR 49577, Aug. 13, 2020]</w:t>
      </w:r>
    </w:p>
    <w:sectPr w:rsidR="004C4ADD" w:rsidRPr="004C4ADD" w:rsidSect="00573E0F">
      <w:headerReference w:type="default" r:id="rId8"/>
      <w:footerReference w:type="default" r:id="rId9"/>
      <w:headerReference w:type="first" r:id="rId10"/>
      <w:pgSz w:w="12240" w:h="15840"/>
      <w:pgMar w:top="1080" w:right="1440" w:bottom="0" w:left="1440" w:header="0" w:footer="44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92CB" w14:textId="77777777" w:rsidR="00EF0E8B" w:rsidRDefault="00EF0E8B" w:rsidP="006A51DB">
      <w:pPr>
        <w:spacing w:after="0" w:line="240" w:lineRule="auto"/>
      </w:pPr>
      <w:r>
        <w:separator/>
      </w:r>
    </w:p>
  </w:endnote>
  <w:endnote w:type="continuationSeparator" w:id="0">
    <w:p w14:paraId="3678D282" w14:textId="77777777" w:rsidR="00EF0E8B" w:rsidRDefault="00EF0E8B" w:rsidP="006A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condo Swash Caps">
    <w:altName w:val="Calibri"/>
    <w:charset w:val="00"/>
    <w:family w:val="auto"/>
    <w:pitch w:val="variable"/>
    <w:sig w:usb0="0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C0A7" w14:textId="7197A4A8" w:rsidR="006E3B78" w:rsidRPr="0065018A" w:rsidRDefault="0048225A" w:rsidP="0048225A">
    <w:pPr>
      <w:pStyle w:val="Footer"/>
      <w:tabs>
        <w:tab w:val="clear" w:pos="4680"/>
        <w:tab w:val="clear" w:pos="9360"/>
        <w:tab w:val="left" w:pos="4245"/>
      </w:tabs>
    </w:pPr>
    <w:r>
      <w:tab/>
    </w:r>
    <w:r>
      <w:rPr>
        <w:noProof/>
      </w:rPr>
      <w:drawing>
        <wp:inline distT="0" distB="0" distL="0" distR="0" wp14:anchorId="202376E3" wp14:editId="6A41D6A2">
          <wp:extent cx="5943600" cy="5238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pic:spPr>
              </pic:pic>
            </a:graphicData>
          </a:graphic>
        </wp:inline>
      </w:drawing>
    </w:r>
  </w:p>
  <w:p w14:paraId="73F4AA18" w14:textId="6194A476" w:rsidR="006E3B78" w:rsidRDefault="00616ECC" w:rsidP="00710ACA">
    <w:pPr>
      <w:pStyle w:val="Footer"/>
      <w:jc w:val="center"/>
    </w:pPr>
    <w:bookmarkStart w:id="0" w:name="_Hlk64552693"/>
    <w:bookmarkStart w:id="1" w:name="_Hlk64552694"/>
    <w:bookmarkStart w:id="2" w:name="_Hlk64552705"/>
    <w:bookmarkStart w:id="3" w:name="_Hlk64552706"/>
    <w:r>
      <w:rPr>
        <w:noProof/>
      </w:rPr>
      <mc:AlternateContent>
        <mc:Choice Requires="wps">
          <w:drawing>
            <wp:anchor distT="45720" distB="45720" distL="114300" distR="114300" simplePos="0" relativeHeight="251684864" behindDoc="0" locked="0" layoutInCell="1" allowOverlap="1" wp14:anchorId="75DC6970" wp14:editId="4C01289D">
              <wp:simplePos x="0" y="0"/>
              <wp:positionH relativeFrom="page">
                <wp:posOffset>6125245</wp:posOffset>
              </wp:positionH>
              <wp:positionV relativeFrom="page">
                <wp:posOffset>9513751</wp:posOffset>
              </wp:positionV>
              <wp:extent cx="1382395" cy="294640"/>
              <wp:effectExtent l="0" t="0" r="825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94640"/>
                      </a:xfrm>
                      <a:prstGeom prst="rect">
                        <a:avLst/>
                      </a:prstGeom>
                      <a:noFill/>
                      <a:ln w="9525">
                        <a:noFill/>
                        <a:miter lim="800000"/>
                        <a:headEnd/>
                        <a:tailEnd/>
                      </a:ln>
                    </wps:spPr>
                    <wps:txbx>
                      <w:txbxContent>
                        <w:p w14:paraId="3063CC91" w14:textId="77777777" w:rsidR="0048225A" w:rsidRPr="0048225A" w:rsidRDefault="0048225A" w:rsidP="0048225A">
                          <w:pPr>
                            <w:spacing w:after="0"/>
                            <w:jc w:val="right"/>
                            <w:rPr>
                              <w:rFonts w:ascii="Cambria" w:hAnsi="Cambria"/>
                              <w:sz w:val="18"/>
                              <w:szCs w:val="18"/>
                            </w:rPr>
                          </w:pPr>
                          <w:r w:rsidRPr="0048225A">
                            <w:rPr>
                              <w:rFonts w:ascii="Cambria" w:hAnsi="Cambria"/>
                              <w:sz w:val="18"/>
                              <w:szCs w:val="18"/>
                            </w:rPr>
                            <w:t xml:space="preserve">Page </w:t>
                          </w:r>
                          <w:r w:rsidRPr="0048225A">
                            <w:rPr>
                              <w:rFonts w:ascii="Cambria" w:hAnsi="Cambria"/>
                              <w:b/>
                              <w:bCs/>
                              <w:sz w:val="18"/>
                              <w:szCs w:val="18"/>
                            </w:rPr>
                            <w:fldChar w:fldCharType="begin"/>
                          </w:r>
                          <w:r w:rsidRPr="0048225A">
                            <w:rPr>
                              <w:rFonts w:ascii="Cambria" w:hAnsi="Cambria"/>
                              <w:b/>
                              <w:bCs/>
                              <w:sz w:val="18"/>
                              <w:szCs w:val="18"/>
                            </w:rPr>
                            <w:instrText xml:space="preserve"> PAGE  \* Arabic  \* MERGEFORMAT </w:instrText>
                          </w:r>
                          <w:r w:rsidRPr="0048225A">
                            <w:rPr>
                              <w:rFonts w:ascii="Cambria" w:hAnsi="Cambria"/>
                              <w:b/>
                              <w:bCs/>
                              <w:sz w:val="18"/>
                              <w:szCs w:val="18"/>
                            </w:rPr>
                            <w:fldChar w:fldCharType="separate"/>
                          </w:r>
                          <w:r w:rsidRPr="0048225A">
                            <w:rPr>
                              <w:rFonts w:ascii="Cambria" w:hAnsi="Cambria"/>
                              <w:b/>
                              <w:bCs/>
                              <w:noProof/>
                              <w:sz w:val="18"/>
                              <w:szCs w:val="18"/>
                            </w:rPr>
                            <w:t>1</w:t>
                          </w:r>
                          <w:r w:rsidRPr="0048225A">
                            <w:rPr>
                              <w:rFonts w:ascii="Cambria" w:hAnsi="Cambria"/>
                              <w:b/>
                              <w:bCs/>
                              <w:sz w:val="18"/>
                              <w:szCs w:val="18"/>
                            </w:rPr>
                            <w:fldChar w:fldCharType="end"/>
                          </w:r>
                          <w:r w:rsidRPr="0048225A">
                            <w:rPr>
                              <w:rFonts w:ascii="Cambria" w:hAnsi="Cambria"/>
                              <w:sz w:val="18"/>
                              <w:szCs w:val="18"/>
                            </w:rPr>
                            <w:t xml:space="preserve"> of </w:t>
                          </w:r>
                          <w:r w:rsidRPr="0048225A">
                            <w:rPr>
                              <w:rFonts w:ascii="Cambria" w:hAnsi="Cambria"/>
                              <w:b/>
                              <w:bCs/>
                              <w:sz w:val="18"/>
                              <w:szCs w:val="18"/>
                            </w:rPr>
                            <w:fldChar w:fldCharType="begin"/>
                          </w:r>
                          <w:r w:rsidRPr="0048225A">
                            <w:rPr>
                              <w:rFonts w:ascii="Cambria" w:hAnsi="Cambria"/>
                              <w:b/>
                              <w:bCs/>
                              <w:sz w:val="18"/>
                              <w:szCs w:val="18"/>
                            </w:rPr>
                            <w:instrText xml:space="preserve"> NUMPAGES  \* Arabic  \* MERGEFORMAT </w:instrText>
                          </w:r>
                          <w:r w:rsidRPr="0048225A">
                            <w:rPr>
                              <w:rFonts w:ascii="Cambria" w:hAnsi="Cambria"/>
                              <w:b/>
                              <w:bCs/>
                              <w:sz w:val="18"/>
                              <w:szCs w:val="18"/>
                            </w:rPr>
                            <w:fldChar w:fldCharType="separate"/>
                          </w:r>
                          <w:r w:rsidRPr="0048225A">
                            <w:rPr>
                              <w:rFonts w:ascii="Cambria" w:hAnsi="Cambria"/>
                              <w:b/>
                              <w:bCs/>
                              <w:noProof/>
                              <w:sz w:val="18"/>
                              <w:szCs w:val="18"/>
                            </w:rPr>
                            <w:t>2</w:t>
                          </w:r>
                          <w:r w:rsidRPr="0048225A">
                            <w:rPr>
                              <w:rFonts w:ascii="Cambria" w:hAnsi="Cambria"/>
                              <w:b/>
                              <w:bCs/>
                              <w:sz w:val="18"/>
                              <w:szCs w:val="18"/>
                            </w:rPr>
                            <w:fldChar w:fldCharType="end"/>
                          </w:r>
                        </w:p>
                      </w:txbxContent>
                    </wps:txbx>
                    <wps:bodyPr rot="0" vert="horz" wrap="square" lIns="36000" tIns="36000" rIns="36000" bIns="3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5DC6970" id="_x0000_t202" coordsize="21600,21600" o:spt="202" path="m,l,21600r21600,l21600,xe">
              <v:stroke joinstyle="miter"/>
              <v:path gradientshapeok="t" o:connecttype="rect"/>
            </v:shapetype>
            <v:shape id="_x0000_s1028" type="#_x0000_t202" style="position:absolute;left:0;text-align:left;margin-left:482.3pt;margin-top:749.1pt;width:108.85pt;height:23.2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" filled="f" stroked="f">
              <v:textbox inset="1mm,1mm,1mm,1mm">
                <w:txbxContent>
                  <w:p w14:paraId="3063CC91" w14:textId="77777777" w:rsidR="0048225A" w:rsidRPr="0048225A" w:rsidRDefault="0048225A" w:rsidP="0048225A">
                    <w:pPr>
                      <w:spacing w:after="0"/>
                      <w:jc w:val="right"/>
                      <w:rPr>
                        <w:rFonts w:ascii="Cambria" w:hAnsi="Cambria"/>
                        <w:sz w:val="18"/>
                        <w:szCs w:val="18"/>
                      </w:rPr>
                    </w:pPr>
                    <w:r w:rsidRPr="0048225A">
                      <w:rPr>
                        <w:rFonts w:ascii="Cambria" w:hAnsi="Cambria"/>
                        <w:sz w:val="18"/>
                        <w:szCs w:val="18"/>
                      </w:rPr>
                      <w:t xml:space="preserve">Page </w:t>
                    </w:r>
                    <w:r w:rsidRPr="0048225A">
                      <w:rPr>
                        <w:rFonts w:ascii="Cambria" w:hAnsi="Cambria"/>
                        <w:b/>
                        <w:bCs/>
                        <w:sz w:val="18"/>
                        <w:szCs w:val="18"/>
                      </w:rPr>
                      <w:fldChar w:fldCharType="begin"/>
                    </w:r>
                    <w:r w:rsidRPr="0048225A">
                      <w:rPr>
                        <w:rFonts w:ascii="Cambria" w:hAnsi="Cambria"/>
                        <w:b/>
                        <w:bCs/>
                        <w:sz w:val="18"/>
                        <w:szCs w:val="18"/>
                      </w:rPr>
                      <w:instrText xml:space="preserve"> PAGE  \* Arabic  \* MERGEFORMAT </w:instrText>
                    </w:r>
                    <w:r w:rsidRPr="0048225A">
                      <w:rPr>
                        <w:rFonts w:ascii="Cambria" w:hAnsi="Cambria"/>
                        <w:b/>
                        <w:bCs/>
                        <w:sz w:val="18"/>
                        <w:szCs w:val="18"/>
                      </w:rPr>
                      <w:fldChar w:fldCharType="separate"/>
                    </w:r>
                    <w:r w:rsidRPr="0048225A">
                      <w:rPr>
                        <w:rFonts w:ascii="Cambria" w:hAnsi="Cambria"/>
                        <w:b/>
                        <w:bCs/>
                        <w:noProof/>
                        <w:sz w:val="18"/>
                        <w:szCs w:val="18"/>
                      </w:rPr>
                      <w:t>1</w:t>
                    </w:r>
                    <w:r w:rsidRPr="0048225A">
                      <w:rPr>
                        <w:rFonts w:ascii="Cambria" w:hAnsi="Cambria"/>
                        <w:b/>
                        <w:bCs/>
                        <w:sz w:val="18"/>
                        <w:szCs w:val="18"/>
                      </w:rPr>
                      <w:fldChar w:fldCharType="end"/>
                    </w:r>
                    <w:r w:rsidRPr="0048225A">
                      <w:rPr>
                        <w:rFonts w:ascii="Cambria" w:hAnsi="Cambria"/>
                        <w:sz w:val="18"/>
                        <w:szCs w:val="18"/>
                      </w:rPr>
                      <w:t xml:space="preserve"> of </w:t>
                    </w:r>
                    <w:r w:rsidRPr="0048225A">
                      <w:rPr>
                        <w:rFonts w:ascii="Cambria" w:hAnsi="Cambria"/>
                        <w:b/>
                        <w:bCs/>
                        <w:sz w:val="18"/>
                        <w:szCs w:val="18"/>
                      </w:rPr>
                      <w:fldChar w:fldCharType="begin"/>
                    </w:r>
                    <w:r w:rsidRPr="0048225A">
                      <w:rPr>
                        <w:rFonts w:ascii="Cambria" w:hAnsi="Cambria"/>
                        <w:b/>
                        <w:bCs/>
                        <w:sz w:val="18"/>
                        <w:szCs w:val="18"/>
                      </w:rPr>
                      <w:instrText xml:space="preserve"> NUMPAGES  \* Arabic  \* MERGEFORMAT </w:instrText>
                    </w:r>
                    <w:r w:rsidRPr="0048225A">
                      <w:rPr>
                        <w:rFonts w:ascii="Cambria" w:hAnsi="Cambria"/>
                        <w:b/>
                        <w:bCs/>
                        <w:sz w:val="18"/>
                        <w:szCs w:val="18"/>
                      </w:rPr>
                      <w:fldChar w:fldCharType="separate"/>
                    </w:r>
                    <w:r w:rsidRPr="0048225A">
                      <w:rPr>
                        <w:rFonts w:ascii="Cambria" w:hAnsi="Cambria"/>
                        <w:b/>
                        <w:bCs/>
                        <w:noProof/>
                        <w:sz w:val="18"/>
                        <w:szCs w:val="18"/>
                      </w:rPr>
                      <w:t>2</w:t>
                    </w:r>
                    <w:r w:rsidRPr="0048225A">
                      <w:rPr>
                        <w:rFonts w:ascii="Cambria" w:hAnsi="Cambria"/>
                        <w:b/>
                        <w:bCs/>
                        <w:sz w:val="18"/>
                        <w:szCs w:val="18"/>
                      </w:rPr>
                      <w:fldChar w:fldCharType="end"/>
                    </w:r>
                  </w:p>
                </w:txbxContent>
              </v:textbox>
              <w10:wrap anchorx="page" anchory="page"/>
            </v:shape>
          </w:pict>
        </mc:Fallback>
      </mc:AlternateContent>
    </w:r>
    <w:bookmarkEnd w:id="0"/>
    <w:bookmarkEnd w:id="1"/>
    <w:bookmarkEnd w:id="2"/>
    <w:bookmarkEnd w:id="3"/>
  </w:p>
  <w:p w14:paraId="6074C8CA" w14:textId="26C8C252" w:rsidR="006A51DB" w:rsidRPr="006A51DB" w:rsidRDefault="00BA617E">
    <w:pPr>
      <w:pStyle w:val="Footer"/>
      <w:rPr>
        <w:rFonts w:ascii="Macondo Swash Caps" w:hAnsi="Macondo Swash Caps"/>
      </w:rPr>
    </w:pPr>
    <w:r>
      <w:rPr>
        <w:rFonts w:cstheme="minorHAnsi"/>
      </w:rPr>
      <w:t>©</w:t>
    </w:r>
    <w:r w:rsidRPr="00482CAA">
      <w:rPr>
        <w:rFonts w:ascii="Cambria" w:hAnsi="Cambria"/>
      </w:rPr>
      <w:t>202</w:t>
    </w:r>
    <w:r w:rsidR="00042ACE">
      <w:rPr>
        <w:rFonts w:ascii="Cambria" w:hAnsi="Cambria"/>
      </w:rPr>
      <w:t>3</w:t>
    </w:r>
    <w:r w:rsidRPr="00482CAA">
      <w:rPr>
        <w:rFonts w:ascii="Cambria" w:hAnsi="Cambria"/>
      </w:rPr>
      <w:t xml:space="preserve"> The Vander Weele </w:t>
    </w:r>
    <w:proofErr w:type="spellStart"/>
    <w:r w:rsidRPr="00482CAA">
      <w:rPr>
        <w:rFonts w:ascii="Cambria" w:hAnsi="Cambria"/>
      </w:rPr>
      <w:t>Group</w:t>
    </w:r>
    <w:r w:rsidRPr="00AC5871">
      <w:rPr>
        <w:rFonts w:ascii="Cambria" w:hAnsi="Cambria"/>
        <w:sz w:val="16"/>
        <w:szCs w:val="16"/>
        <w:vertAlign w:val="superscript"/>
      </w:rPr>
      <w:t>LLC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40FA" w14:textId="77777777" w:rsidR="00EF0E8B" w:rsidRDefault="00EF0E8B" w:rsidP="006A51DB">
      <w:pPr>
        <w:spacing w:after="0" w:line="240" w:lineRule="auto"/>
      </w:pPr>
      <w:r>
        <w:separator/>
      </w:r>
    </w:p>
  </w:footnote>
  <w:footnote w:type="continuationSeparator" w:id="0">
    <w:p w14:paraId="4C1DB64D" w14:textId="77777777" w:rsidR="00EF0E8B" w:rsidRDefault="00EF0E8B" w:rsidP="006A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49F2" w14:textId="4FFDD7AA" w:rsidR="006A51DB" w:rsidRDefault="0016675D" w:rsidP="0016675D">
    <w:pPr>
      <w:pStyle w:val="Header"/>
      <w:tabs>
        <w:tab w:val="clear" w:pos="4680"/>
        <w:tab w:val="clear" w:pos="9360"/>
        <w:tab w:val="left" w:pos="5304"/>
      </w:tabs>
    </w:pPr>
    <w:r>
      <w:rPr>
        <w:noProof/>
      </w:rPr>
      <mc:AlternateContent>
        <mc:Choice Requires="wps">
          <w:drawing>
            <wp:anchor distT="0" distB="0" distL="114300" distR="114300" simplePos="0" relativeHeight="251689984" behindDoc="0" locked="0" layoutInCell="1" allowOverlap="1" wp14:anchorId="584779FC" wp14:editId="4588A67D">
              <wp:simplePos x="0" y="0"/>
              <wp:positionH relativeFrom="column">
                <wp:posOffset>-666446</wp:posOffset>
              </wp:positionH>
              <wp:positionV relativeFrom="paragraph">
                <wp:posOffset>-22225</wp:posOffset>
              </wp:positionV>
              <wp:extent cx="119269" cy="10114059"/>
              <wp:effectExtent l="0" t="0" r="0" b="1905"/>
              <wp:wrapNone/>
              <wp:docPr id="3" name="Rectangle 3"/>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A4B8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EC8D1" id="Rectangle 3" o:spid="_x0000_s1026" style="position:absolute;margin-left:-52.5pt;margin-top:-1.75pt;width:9.4pt;height:79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" fillcolor="#a4b882" stroked="f" strokeweight="1pt"/>
          </w:pict>
        </mc:Fallback>
      </mc:AlternateContent>
    </w:r>
    <w:r>
      <w:rPr>
        <w:noProof/>
      </w:rPr>
      <mc:AlternateContent>
        <mc:Choice Requires="wps">
          <w:drawing>
            <wp:anchor distT="0" distB="0" distL="114300" distR="114300" simplePos="0" relativeHeight="251687936" behindDoc="0" locked="0" layoutInCell="1" allowOverlap="1" wp14:anchorId="25A99411" wp14:editId="6BCDC4A5">
              <wp:simplePos x="0" y="0"/>
              <wp:positionH relativeFrom="column">
                <wp:posOffset>-786461</wp:posOffset>
              </wp:positionH>
              <wp:positionV relativeFrom="paragraph">
                <wp:posOffset>-22860</wp:posOffset>
              </wp:positionV>
              <wp:extent cx="119269" cy="10114059"/>
              <wp:effectExtent l="0" t="0" r="0" b="1905"/>
              <wp:wrapNone/>
              <wp:docPr id="2" name="Rectangle 2"/>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2A55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3C0B4" id="Rectangle 2" o:spid="_x0000_s1026" style="position:absolute;margin-left:-61.95pt;margin-top:-1.8pt;width:9.4pt;height:79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" fillcolor="#2a5580" stroked="f" strokeweight="1pt"/>
          </w:pict>
        </mc:Fallback>
      </mc:AlternateContent>
    </w:r>
    <w:r>
      <w:rPr>
        <w:noProof/>
      </w:rPr>
      <mc:AlternateContent>
        <mc:Choice Requires="wps">
          <w:drawing>
            <wp:anchor distT="0" distB="0" distL="114300" distR="114300" simplePos="0" relativeHeight="251685888" behindDoc="0" locked="0" layoutInCell="1" allowOverlap="1" wp14:anchorId="57AF2021" wp14:editId="72544A5B">
              <wp:simplePos x="0" y="0"/>
              <wp:positionH relativeFrom="column">
                <wp:posOffset>-906476</wp:posOffset>
              </wp:positionH>
              <wp:positionV relativeFrom="paragraph">
                <wp:posOffset>-39370</wp:posOffset>
              </wp:positionV>
              <wp:extent cx="119269" cy="10114059"/>
              <wp:effectExtent l="0" t="0" r="0" b="1905"/>
              <wp:wrapNone/>
              <wp:docPr id="1" name="Rectangle 1"/>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1025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3E5A" id="Rectangle 1" o:spid="_x0000_s1026" style="position:absolute;margin-left:-71.4pt;margin-top:-3.1pt;width:9.4pt;height:79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" fillcolor="#10253f" stroked="f" strokeweight="1pt"/>
          </w:pict>
        </mc:Fallback>
      </mc:AlternateContent>
    </w:r>
    <w:r w:rsidR="006A51DB">
      <w:tab/>
    </w:r>
  </w:p>
  <w:p w14:paraId="0190B6C3" w14:textId="53DB8004" w:rsidR="006A51DB" w:rsidRDefault="00E9755F" w:rsidP="00147B36">
    <w:pPr>
      <w:pStyle w:val="Header"/>
      <w:tabs>
        <w:tab w:val="clear" w:pos="4680"/>
        <w:tab w:val="left" w:pos="8385"/>
      </w:tabs>
    </w:pPr>
    <w:r w:rsidRPr="00482CAA">
      <w:rPr>
        <w:rFonts w:ascii="Cambria" w:hAnsi="Cambria"/>
        <w:noProof/>
      </w:rPr>
      <w:drawing>
        <wp:anchor distT="0" distB="0" distL="114300" distR="114300" simplePos="0" relativeHeight="251680768" behindDoc="1" locked="0" layoutInCell="1" allowOverlap="1" wp14:anchorId="1F47DD96" wp14:editId="5372F0F4">
          <wp:simplePos x="0" y="0"/>
          <wp:positionH relativeFrom="column">
            <wp:posOffset>4785360</wp:posOffset>
          </wp:positionH>
          <wp:positionV relativeFrom="paragraph">
            <wp:posOffset>4445</wp:posOffset>
          </wp:positionV>
          <wp:extent cx="1866900" cy="746760"/>
          <wp:effectExtent l="0" t="0" r="0" b="0"/>
          <wp:wrapNone/>
          <wp:docPr id="49" name="Picture 4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
                  <a:stretch>
                    <a:fillRect/>
                  </a:stretch>
                </pic:blipFill>
                <pic:spPr>
                  <a:xfrm>
                    <a:off x="0" y="0"/>
                    <a:ext cx="1866900" cy="746760"/>
                  </a:xfrm>
                  <a:prstGeom prst="rect">
                    <a:avLst/>
                  </a:prstGeom>
                </pic:spPr>
              </pic:pic>
            </a:graphicData>
          </a:graphic>
          <wp14:sizeRelH relativeFrom="page">
            <wp14:pctWidth>0</wp14:pctWidth>
          </wp14:sizeRelH>
          <wp14:sizeRelV relativeFrom="page">
            <wp14:pctHeight>0</wp14:pctHeight>
          </wp14:sizeRelV>
        </wp:anchor>
      </w:drawing>
    </w:r>
  </w:p>
  <w:p w14:paraId="27C01542" w14:textId="77777777" w:rsidR="006A51DB" w:rsidRDefault="006A51DB" w:rsidP="001E6392">
    <w:pPr>
      <w:pStyle w:val="Header"/>
      <w:tabs>
        <w:tab w:val="clear" w:pos="4680"/>
        <w:tab w:val="clear" w:pos="9360"/>
        <w:tab w:val="left" w:pos="7125"/>
      </w:tabs>
    </w:pPr>
  </w:p>
  <w:p w14:paraId="0EFC4438" w14:textId="77777777" w:rsidR="006A51DB" w:rsidRDefault="006A51DB">
    <w:pPr>
      <w:pStyle w:val="Header"/>
    </w:pPr>
  </w:p>
  <w:p w14:paraId="7ED1E302" w14:textId="77777777" w:rsidR="006A51DB" w:rsidRDefault="006A5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7D0F" w14:textId="2B733A8F" w:rsidR="00573E0F" w:rsidRDefault="00573E0F" w:rsidP="00573E0F">
    <w:pPr>
      <w:pStyle w:val="Header"/>
      <w:tabs>
        <w:tab w:val="clear" w:pos="4680"/>
        <w:tab w:val="clear" w:pos="9360"/>
        <w:tab w:val="left" w:pos="3430"/>
      </w:tabs>
    </w:pPr>
    <w:r w:rsidRPr="00573E0F">
      <w:rPr>
        <w:noProof/>
      </w:rPr>
      <w:drawing>
        <wp:anchor distT="0" distB="0" distL="114300" distR="114300" simplePos="0" relativeHeight="251692032" behindDoc="1" locked="0" layoutInCell="1" allowOverlap="1" wp14:anchorId="17440805" wp14:editId="232EF15F">
          <wp:simplePos x="0" y="0"/>
          <wp:positionH relativeFrom="column">
            <wp:posOffset>4808855</wp:posOffset>
          </wp:positionH>
          <wp:positionV relativeFrom="paragraph">
            <wp:posOffset>214630</wp:posOffset>
          </wp:positionV>
          <wp:extent cx="1866900" cy="746760"/>
          <wp:effectExtent l="0" t="0" r="0" b="0"/>
          <wp:wrapNone/>
          <wp:docPr id="51" name="Picture 5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
                  <a:stretch>
                    <a:fillRect/>
                  </a:stretch>
                </pic:blipFill>
                <pic:spPr>
                  <a:xfrm>
                    <a:off x="0" y="0"/>
                    <a:ext cx="1866900" cy="746760"/>
                  </a:xfrm>
                  <a:prstGeom prst="rect">
                    <a:avLst/>
                  </a:prstGeom>
                </pic:spPr>
              </pic:pic>
            </a:graphicData>
          </a:graphic>
          <wp14:sizeRelH relativeFrom="page">
            <wp14:pctWidth>0</wp14:pctWidth>
          </wp14:sizeRelH>
          <wp14:sizeRelV relativeFrom="page">
            <wp14:pctHeight>0</wp14:pctHeight>
          </wp14:sizeRelV>
        </wp:anchor>
      </w:drawing>
    </w:r>
    <w:r w:rsidRPr="00573E0F">
      <w:rPr>
        <w:noProof/>
      </w:rPr>
      <mc:AlternateContent>
        <mc:Choice Requires="wps">
          <w:drawing>
            <wp:anchor distT="0" distB="0" distL="114300" distR="114300" simplePos="0" relativeHeight="251695104" behindDoc="0" locked="0" layoutInCell="1" allowOverlap="1" wp14:anchorId="005A4A4E" wp14:editId="1B545541">
              <wp:simplePos x="0" y="0"/>
              <wp:positionH relativeFrom="column">
                <wp:posOffset>-674370</wp:posOffset>
              </wp:positionH>
              <wp:positionV relativeFrom="paragraph">
                <wp:posOffset>4445</wp:posOffset>
              </wp:positionV>
              <wp:extent cx="118745" cy="10113645"/>
              <wp:effectExtent l="0" t="0" r="0" b="1905"/>
              <wp:wrapNone/>
              <wp:docPr id="6" name="Rectangle 6"/>
              <wp:cNvGraphicFramePr/>
              <a:graphic xmlns:a="http://schemas.openxmlformats.org/drawingml/2006/main">
                <a:graphicData uri="http://schemas.microsoft.com/office/word/2010/wordprocessingShape">
                  <wps:wsp>
                    <wps:cNvSpPr/>
                    <wps:spPr>
                      <a:xfrm>
                        <a:off x="0" y="0"/>
                        <a:ext cx="118745" cy="10113645"/>
                      </a:xfrm>
                      <a:prstGeom prst="rect">
                        <a:avLst/>
                      </a:prstGeom>
                      <a:solidFill>
                        <a:srgbClr val="A4B8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86D5" id="Rectangle 6" o:spid="_x0000_s1026" style="position:absolute;margin-left:-53.1pt;margin-top:.35pt;width:9.35pt;height:79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" fillcolor="#a4b882" stroked="f" strokeweight="1pt"/>
          </w:pict>
        </mc:Fallback>
      </mc:AlternateContent>
    </w:r>
    <w:r w:rsidRPr="00573E0F">
      <w:rPr>
        <w:noProof/>
      </w:rPr>
      <mc:AlternateContent>
        <mc:Choice Requires="wps">
          <w:drawing>
            <wp:anchor distT="0" distB="0" distL="114300" distR="114300" simplePos="0" relativeHeight="251694080" behindDoc="0" locked="0" layoutInCell="1" allowOverlap="1" wp14:anchorId="6705DDB4" wp14:editId="28164D28">
              <wp:simplePos x="0" y="0"/>
              <wp:positionH relativeFrom="column">
                <wp:posOffset>-794385</wp:posOffset>
              </wp:positionH>
              <wp:positionV relativeFrom="paragraph">
                <wp:posOffset>3810</wp:posOffset>
              </wp:positionV>
              <wp:extent cx="118745" cy="10113645"/>
              <wp:effectExtent l="0" t="0" r="0" b="1905"/>
              <wp:wrapNone/>
              <wp:docPr id="5" name="Rectangle 5"/>
              <wp:cNvGraphicFramePr/>
              <a:graphic xmlns:a="http://schemas.openxmlformats.org/drawingml/2006/main">
                <a:graphicData uri="http://schemas.microsoft.com/office/word/2010/wordprocessingShape">
                  <wps:wsp>
                    <wps:cNvSpPr/>
                    <wps:spPr>
                      <a:xfrm>
                        <a:off x="0" y="0"/>
                        <a:ext cx="118745" cy="10113645"/>
                      </a:xfrm>
                      <a:prstGeom prst="rect">
                        <a:avLst/>
                      </a:prstGeom>
                      <a:solidFill>
                        <a:srgbClr val="2A55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34654" id="Rectangle 5" o:spid="_x0000_s1026" style="position:absolute;margin-left:-62.55pt;margin-top:.3pt;width:9.35pt;height:79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" fillcolor="#2a5580" stroked="f" strokeweight="1pt"/>
          </w:pict>
        </mc:Fallback>
      </mc:AlternateContent>
    </w:r>
    <w:r w:rsidRPr="00573E0F">
      <w:rPr>
        <w:noProof/>
      </w:rPr>
      <mc:AlternateContent>
        <mc:Choice Requires="wps">
          <w:drawing>
            <wp:anchor distT="0" distB="0" distL="114300" distR="114300" simplePos="0" relativeHeight="251693056" behindDoc="0" locked="0" layoutInCell="1" allowOverlap="1" wp14:anchorId="655932AA" wp14:editId="73FC64BF">
              <wp:simplePos x="0" y="0"/>
              <wp:positionH relativeFrom="column">
                <wp:posOffset>-914400</wp:posOffset>
              </wp:positionH>
              <wp:positionV relativeFrom="paragraph">
                <wp:posOffset>6350</wp:posOffset>
              </wp:positionV>
              <wp:extent cx="119269" cy="10114059"/>
              <wp:effectExtent l="0" t="0" r="0" b="1905"/>
              <wp:wrapNone/>
              <wp:docPr id="4" name="Rectangle 4"/>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1025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43042" id="Rectangle 4" o:spid="_x0000_s1026" style="position:absolute;margin-left:-1in;margin-top:.5pt;width:9.4pt;height:79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" fillcolor="#10253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BF7"/>
    <w:multiLevelType w:val="hybridMultilevel"/>
    <w:tmpl w:val="11C40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9575D"/>
    <w:multiLevelType w:val="hybridMultilevel"/>
    <w:tmpl w:val="B77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12FC1"/>
    <w:multiLevelType w:val="hybridMultilevel"/>
    <w:tmpl w:val="7254962C"/>
    <w:lvl w:ilvl="0" w:tplc="D7D49E32">
      <w:numFmt w:val="bullet"/>
      <w:lvlText w:val=""/>
      <w:lvlJc w:val="left"/>
      <w:pPr>
        <w:ind w:left="723" w:hanging="360"/>
      </w:pPr>
      <w:rPr>
        <w:rFonts w:ascii="Symbol" w:eastAsia="Calibri" w:hAnsi="Symbol" w:cs="Calibri"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3" w15:restartNumberingAfterBreak="0">
    <w:nsid w:val="16CB19D2"/>
    <w:multiLevelType w:val="hybridMultilevel"/>
    <w:tmpl w:val="A6F0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20A1C"/>
    <w:multiLevelType w:val="hybridMultilevel"/>
    <w:tmpl w:val="71FA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34B46"/>
    <w:multiLevelType w:val="hybridMultilevel"/>
    <w:tmpl w:val="E28246E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B110F"/>
    <w:multiLevelType w:val="hybridMultilevel"/>
    <w:tmpl w:val="5D7CC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F07F0"/>
    <w:multiLevelType w:val="hybridMultilevel"/>
    <w:tmpl w:val="83E2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A4349"/>
    <w:multiLevelType w:val="hybridMultilevel"/>
    <w:tmpl w:val="4D6EE6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85218"/>
    <w:multiLevelType w:val="hybridMultilevel"/>
    <w:tmpl w:val="C376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A1A63"/>
    <w:multiLevelType w:val="hybridMultilevel"/>
    <w:tmpl w:val="0C8C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94E0C"/>
    <w:multiLevelType w:val="hybridMultilevel"/>
    <w:tmpl w:val="C4C4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63413"/>
    <w:multiLevelType w:val="hybridMultilevel"/>
    <w:tmpl w:val="044E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922D7"/>
    <w:multiLevelType w:val="hybridMultilevel"/>
    <w:tmpl w:val="A3A8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C4A26"/>
    <w:multiLevelType w:val="hybridMultilevel"/>
    <w:tmpl w:val="96A2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C6D52"/>
    <w:multiLevelType w:val="hybridMultilevel"/>
    <w:tmpl w:val="8708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81550"/>
    <w:multiLevelType w:val="hybridMultilevel"/>
    <w:tmpl w:val="959C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A24E5"/>
    <w:multiLevelType w:val="hybridMultilevel"/>
    <w:tmpl w:val="263C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9683F"/>
    <w:multiLevelType w:val="hybridMultilevel"/>
    <w:tmpl w:val="E6D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E2771"/>
    <w:multiLevelType w:val="hybridMultilevel"/>
    <w:tmpl w:val="7D6A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115F8"/>
    <w:multiLevelType w:val="hybridMultilevel"/>
    <w:tmpl w:val="4F1E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81288"/>
    <w:multiLevelType w:val="hybridMultilevel"/>
    <w:tmpl w:val="827A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561EC"/>
    <w:multiLevelType w:val="hybridMultilevel"/>
    <w:tmpl w:val="EF8C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25E40"/>
    <w:multiLevelType w:val="hybridMultilevel"/>
    <w:tmpl w:val="030A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C03A4"/>
    <w:multiLevelType w:val="hybridMultilevel"/>
    <w:tmpl w:val="CF08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E6B51"/>
    <w:multiLevelType w:val="hybridMultilevel"/>
    <w:tmpl w:val="F572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32122"/>
    <w:multiLevelType w:val="hybridMultilevel"/>
    <w:tmpl w:val="C37641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B97321"/>
    <w:multiLevelType w:val="hybridMultilevel"/>
    <w:tmpl w:val="1782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03292">
    <w:abstractNumId w:val="2"/>
  </w:num>
  <w:num w:numId="2" w16cid:durableId="336346350">
    <w:abstractNumId w:val="11"/>
  </w:num>
  <w:num w:numId="3" w16cid:durableId="246353652">
    <w:abstractNumId w:val="24"/>
  </w:num>
  <w:num w:numId="4" w16cid:durableId="442118478">
    <w:abstractNumId w:val="7"/>
  </w:num>
  <w:num w:numId="5" w16cid:durableId="1994984829">
    <w:abstractNumId w:val="16"/>
  </w:num>
  <w:num w:numId="6" w16cid:durableId="1384523765">
    <w:abstractNumId w:val="6"/>
  </w:num>
  <w:num w:numId="7" w16cid:durableId="712771106">
    <w:abstractNumId w:val="17"/>
  </w:num>
  <w:num w:numId="8" w16cid:durableId="339358044">
    <w:abstractNumId w:val="3"/>
  </w:num>
  <w:num w:numId="9" w16cid:durableId="1223833258">
    <w:abstractNumId w:val="13"/>
  </w:num>
  <w:num w:numId="10" w16cid:durableId="226426988">
    <w:abstractNumId w:val="8"/>
  </w:num>
  <w:num w:numId="11" w16cid:durableId="2086300644">
    <w:abstractNumId w:val="12"/>
  </w:num>
  <w:num w:numId="12" w16cid:durableId="196433822">
    <w:abstractNumId w:val="21"/>
  </w:num>
  <w:num w:numId="13" w16cid:durableId="2147119635">
    <w:abstractNumId w:val="25"/>
  </w:num>
  <w:num w:numId="14" w16cid:durableId="1562640801">
    <w:abstractNumId w:val="15"/>
  </w:num>
  <w:num w:numId="15" w16cid:durableId="864293632">
    <w:abstractNumId w:val="27"/>
  </w:num>
  <w:num w:numId="16" w16cid:durableId="1083575022">
    <w:abstractNumId w:val="20"/>
  </w:num>
  <w:num w:numId="17" w16cid:durableId="1611203192">
    <w:abstractNumId w:val="1"/>
  </w:num>
  <w:num w:numId="18" w16cid:durableId="1109548115">
    <w:abstractNumId w:val="19"/>
  </w:num>
  <w:num w:numId="19" w16cid:durableId="933393224">
    <w:abstractNumId w:val="4"/>
  </w:num>
  <w:num w:numId="20" w16cid:durableId="1562521285">
    <w:abstractNumId w:val="22"/>
  </w:num>
  <w:num w:numId="21" w16cid:durableId="6251199">
    <w:abstractNumId w:val="23"/>
  </w:num>
  <w:num w:numId="22" w16cid:durableId="2008047767">
    <w:abstractNumId w:val="10"/>
  </w:num>
  <w:num w:numId="23" w16cid:durableId="19205630">
    <w:abstractNumId w:val="0"/>
  </w:num>
  <w:num w:numId="24" w16cid:durableId="1751661549">
    <w:abstractNumId w:val="9"/>
  </w:num>
  <w:num w:numId="25" w16cid:durableId="431633763">
    <w:abstractNumId w:val="18"/>
  </w:num>
  <w:num w:numId="26" w16cid:durableId="1448935894">
    <w:abstractNumId w:val="26"/>
  </w:num>
  <w:num w:numId="27" w16cid:durableId="969554402">
    <w:abstractNumId w:val="14"/>
  </w:num>
  <w:num w:numId="28" w16cid:durableId="804664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44"/>
    <w:rsid w:val="000363D2"/>
    <w:rsid w:val="00042ACE"/>
    <w:rsid w:val="00063B2A"/>
    <w:rsid w:val="00071310"/>
    <w:rsid w:val="000A5FA7"/>
    <w:rsid w:val="000A6DFC"/>
    <w:rsid w:val="001266B9"/>
    <w:rsid w:val="0016675D"/>
    <w:rsid w:val="001A568D"/>
    <w:rsid w:val="001B173E"/>
    <w:rsid w:val="001C7473"/>
    <w:rsid w:val="001E0EDF"/>
    <w:rsid w:val="0022297F"/>
    <w:rsid w:val="0022578D"/>
    <w:rsid w:val="00247033"/>
    <w:rsid w:val="00252224"/>
    <w:rsid w:val="00260844"/>
    <w:rsid w:val="00261E47"/>
    <w:rsid w:val="00284DF8"/>
    <w:rsid w:val="00291482"/>
    <w:rsid w:val="002E5344"/>
    <w:rsid w:val="00310F84"/>
    <w:rsid w:val="00315EB0"/>
    <w:rsid w:val="00352CB3"/>
    <w:rsid w:val="00361961"/>
    <w:rsid w:val="00374071"/>
    <w:rsid w:val="00433E39"/>
    <w:rsid w:val="00445258"/>
    <w:rsid w:val="00460D16"/>
    <w:rsid w:val="0048225A"/>
    <w:rsid w:val="00482CAA"/>
    <w:rsid w:val="004C4ADD"/>
    <w:rsid w:val="004E4C75"/>
    <w:rsid w:val="00510E00"/>
    <w:rsid w:val="00524483"/>
    <w:rsid w:val="00533211"/>
    <w:rsid w:val="0053398C"/>
    <w:rsid w:val="00542A1A"/>
    <w:rsid w:val="00556CDE"/>
    <w:rsid w:val="00573E0F"/>
    <w:rsid w:val="00582982"/>
    <w:rsid w:val="005A788D"/>
    <w:rsid w:val="005C0DDF"/>
    <w:rsid w:val="005C6F9F"/>
    <w:rsid w:val="005D5C53"/>
    <w:rsid w:val="005F52A5"/>
    <w:rsid w:val="00616ECC"/>
    <w:rsid w:val="006A51DB"/>
    <w:rsid w:val="006E3B78"/>
    <w:rsid w:val="00731103"/>
    <w:rsid w:val="00796358"/>
    <w:rsid w:val="007A4901"/>
    <w:rsid w:val="007E34E6"/>
    <w:rsid w:val="00822C87"/>
    <w:rsid w:val="00835332"/>
    <w:rsid w:val="008576D1"/>
    <w:rsid w:val="00877AFA"/>
    <w:rsid w:val="008B43F9"/>
    <w:rsid w:val="008E4515"/>
    <w:rsid w:val="008E4A30"/>
    <w:rsid w:val="008F7F2D"/>
    <w:rsid w:val="00951D8C"/>
    <w:rsid w:val="00993E54"/>
    <w:rsid w:val="00A112EE"/>
    <w:rsid w:val="00A5083E"/>
    <w:rsid w:val="00A86470"/>
    <w:rsid w:val="00AB1BC8"/>
    <w:rsid w:val="00AC5871"/>
    <w:rsid w:val="00B001E2"/>
    <w:rsid w:val="00B218E0"/>
    <w:rsid w:val="00B36572"/>
    <w:rsid w:val="00B70CB5"/>
    <w:rsid w:val="00BA617E"/>
    <w:rsid w:val="00BB2104"/>
    <w:rsid w:val="00BB2B9B"/>
    <w:rsid w:val="00BF003B"/>
    <w:rsid w:val="00BF6B29"/>
    <w:rsid w:val="00C237F4"/>
    <w:rsid w:val="00C55E28"/>
    <w:rsid w:val="00C65385"/>
    <w:rsid w:val="00C67A7C"/>
    <w:rsid w:val="00C802A0"/>
    <w:rsid w:val="00CB1B26"/>
    <w:rsid w:val="00CE7B91"/>
    <w:rsid w:val="00D25087"/>
    <w:rsid w:val="00D35B98"/>
    <w:rsid w:val="00D420F4"/>
    <w:rsid w:val="00DE1C5D"/>
    <w:rsid w:val="00E20AF1"/>
    <w:rsid w:val="00E9755F"/>
    <w:rsid w:val="00EB34FE"/>
    <w:rsid w:val="00EC38B0"/>
    <w:rsid w:val="00EC71F4"/>
    <w:rsid w:val="00ED7F48"/>
    <w:rsid w:val="00EE12C4"/>
    <w:rsid w:val="00EF0E8B"/>
    <w:rsid w:val="00EF618B"/>
    <w:rsid w:val="00F8298D"/>
    <w:rsid w:val="00FF7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B2C448E"/>
  <w14:defaultImageDpi w14:val="32767"/>
  <w15:chartTrackingRefBased/>
  <w15:docId w15:val="{B379F19B-906D-4E2E-B7C0-850B86BA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C4"/>
    <w:pPr>
      <w:spacing w:after="200" w:line="276" w:lineRule="auto"/>
    </w:pPr>
    <w:rPr>
      <w:lang w:val="en-US"/>
    </w:rPr>
  </w:style>
  <w:style w:type="paragraph" w:styleId="Heading1">
    <w:name w:val="heading 1"/>
    <w:basedOn w:val="Normal"/>
    <w:next w:val="Normal"/>
    <w:link w:val="Heading1Char"/>
    <w:uiPriority w:val="9"/>
    <w:qFormat/>
    <w:rsid w:val="00616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1DB"/>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6A51DB"/>
  </w:style>
  <w:style w:type="paragraph" w:styleId="Footer">
    <w:name w:val="footer"/>
    <w:basedOn w:val="Normal"/>
    <w:link w:val="FooterChar"/>
    <w:unhideWhenUsed/>
    <w:rsid w:val="006A51DB"/>
    <w:pPr>
      <w:tabs>
        <w:tab w:val="center" w:pos="4680"/>
        <w:tab w:val="right" w:pos="9360"/>
      </w:tabs>
      <w:spacing w:after="0" w:line="240" w:lineRule="auto"/>
    </w:pPr>
    <w:rPr>
      <w:lang w:val="en-CA"/>
    </w:rPr>
  </w:style>
  <w:style w:type="character" w:customStyle="1" w:styleId="FooterChar">
    <w:name w:val="Footer Char"/>
    <w:basedOn w:val="DefaultParagraphFont"/>
    <w:link w:val="Footer"/>
    <w:rsid w:val="006A51DB"/>
  </w:style>
  <w:style w:type="paragraph" w:styleId="Title">
    <w:name w:val="Title"/>
    <w:basedOn w:val="Normal"/>
    <w:link w:val="TitleChar"/>
    <w:qFormat/>
    <w:rsid w:val="00EE12C4"/>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EE12C4"/>
    <w:rPr>
      <w:rFonts w:ascii="Times New Roman" w:eastAsia="Times New Roman" w:hAnsi="Times New Roman" w:cs="Times New Roman"/>
      <w:b/>
      <w:bCs/>
      <w:sz w:val="32"/>
      <w:szCs w:val="24"/>
      <w:u w:val="single"/>
      <w:lang w:val="en-US"/>
    </w:rPr>
  </w:style>
  <w:style w:type="character" w:styleId="CommentReference">
    <w:name w:val="annotation reference"/>
    <w:basedOn w:val="DefaultParagraphFont"/>
    <w:uiPriority w:val="99"/>
    <w:semiHidden/>
    <w:unhideWhenUsed/>
    <w:rsid w:val="00C67A7C"/>
    <w:rPr>
      <w:sz w:val="16"/>
      <w:szCs w:val="16"/>
    </w:rPr>
  </w:style>
  <w:style w:type="paragraph" w:styleId="CommentText">
    <w:name w:val="annotation text"/>
    <w:basedOn w:val="Normal"/>
    <w:link w:val="CommentTextChar"/>
    <w:uiPriority w:val="99"/>
    <w:semiHidden/>
    <w:unhideWhenUsed/>
    <w:rsid w:val="00C67A7C"/>
    <w:pPr>
      <w:spacing w:line="240" w:lineRule="auto"/>
    </w:pPr>
    <w:rPr>
      <w:sz w:val="20"/>
      <w:szCs w:val="20"/>
    </w:rPr>
  </w:style>
  <w:style w:type="character" w:customStyle="1" w:styleId="CommentTextChar">
    <w:name w:val="Comment Text Char"/>
    <w:basedOn w:val="DefaultParagraphFont"/>
    <w:link w:val="CommentText"/>
    <w:uiPriority w:val="99"/>
    <w:semiHidden/>
    <w:rsid w:val="00C67A7C"/>
    <w:rPr>
      <w:sz w:val="20"/>
      <w:szCs w:val="20"/>
      <w:lang w:val="en-US"/>
    </w:rPr>
  </w:style>
  <w:style w:type="paragraph" w:styleId="CommentSubject">
    <w:name w:val="annotation subject"/>
    <w:basedOn w:val="CommentText"/>
    <w:next w:val="CommentText"/>
    <w:link w:val="CommentSubjectChar"/>
    <w:uiPriority w:val="99"/>
    <w:semiHidden/>
    <w:unhideWhenUsed/>
    <w:rsid w:val="00C67A7C"/>
    <w:rPr>
      <w:b/>
      <w:bCs/>
    </w:rPr>
  </w:style>
  <w:style w:type="character" w:customStyle="1" w:styleId="CommentSubjectChar">
    <w:name w:val="Comment Subject Char"/>
    <w:basedOn w:val="CommentTextChar"/>
    <w:link w:val="CommentSubject"/>
    <w:uiPriority w:val="99"/>
    <w:semiHidden/>
    <w:rsid w:val="00C67A7C"/>
    <w:rPr>
      <w:b/>
      <w:bCs/>
      <w:sz w:val="20"/>
      <w:szCs w:val="20"/>
      <w:lang w:val="en-US"/>
    </w:rPr>
  </w:style>
  <w:style w:type="paragraph" w:styleId="ListParagraph">
    <w:name w:val="List Paragraph"/>
    <w:basedOn w:val="Normal"/>
    <w:uiPriority w:val="34"/>
    <w:qFormat/>
    <w:rsid w:val="00796358"/>
    <w:pPr>
      <w:ind w:left="720"/>
      <w:contextualSpacing/>
    </w:pPr>
  </w:style>
  <w:style w:type="character" w:styleId="Hyperlink">
    <w:name w:val="Hyperlink"/>
    <w:basedOn w:val="DefaultParagraphFont"/>
    <w:uiPriority w:val="99"/>
    <w:unhideWhenUsed/>
    <w:rsid w:val="00352CB3"/>
    <w:rPr>
      <w:color w:val="0563C1" w:themeColor="hyperlink"/>
      <w:u w:val="single"/>
    </w:rPr>
  </w:style>
  <w:style w:type="character" w:styleId="UnresolvedMention">
    <w:name w:val="Unresolved Mention"/>
    <w:basedOn w:val="DefaultParagraphFont"/>
    <w:uiPriority w:val="99"/>
    <w:semiHidden/>
    <w:unhideWhenUsed/>
    <w:rsid w:val="00352CB3"/>
    <w:rPr>
      <w:color w:val="605E5C"/>
      <w:shd w:val="clear" w:color="auto" w:fill="E1DFDD"/>
    </w:rPr>
  </w:style>
  <w:style w:type="paragraph" w:styleId="NoSpacing">
    <w:name w:val="No Spacing"/>
    <w:link w:val="NoSpacingChar"/>
    <w:uiPriority w:val="1"/>
    <w:qFormat/>
    <w:rsid w:val="000713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1310"/>
    <w:rPr>
      <w:rFonts w:eastAsiaTheme="minorEastAsia"/>
      <w:lang w:val="en-US"/>
    </w:rPr>
  </w:style>
  <w:style w:type="character" w:customStyle="1" w:styleId="Heading1Char">
    <w:name w:val="Heading 1 Char"/>
    <w:basedOn w:val="DefaultParagraphFont"/>
    <w:link w:val="Heading1"/>
    <w:uiPriority w:val="9"/>
    <w:rsid w:val="00616ECC"/>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616ECC"/>
    <w:pPr>
      <w:spacing w:line="259" w:lineRule="auto"/>
      <w:outlineLvl w:val="9"/>
    </w:pPr>
  </w:style>
  <w:style w:type="paragraph" w:styleId="TOC1">
    <w:name w:val="toc 1"/>
    <w:basedOn w:val="Normal"/>
    <w:next w:val="Normal"/>
    <w:autoRedefine/>
    <w:uiPriority w:val="39"/>
    <w:unhideWhenUsed/>
    <w:rsid w:val="00616ECC"/>
    <w:pPr>
      <w:spacing w:after="100"/>
    </w:pPr>
  </w:style>
  <w:style w:type="paragraph" w:customStyle="1" w:styleId="Style1">
    <w:name w:val="Style1"/>
    <w:basedOn w:val="Normal"/>
    <w:link w:val="Style1Char"/>
    <w:qFormat/>
    <w:rsid w:val="00616ECC"/>
    <w:rPr>
      <w:rFonts w:ascii="Cambria" w:hAnsi="Cambria"/>
      <w:b/>
      <w:bCs/>
      <w:sz w:val="32"/>
      <w:szCs w:val="32"/>
    </w:rPr>
  </w:style>
  <w:style w:type="paragraph" w:styleId="TOC2">
    <w:name w:val="toc 2"/>
    <w:basedOn w:val="Normal"/>
    <w:next w:val="Normal"/>
    <w:autoRedefine/>
    <w:uiPriority w:val="39"/>
    <w:unhideWhenUsed/>
    <w:rsid w:val="00616ECC"/>
    <w:pPr>
      <w:spacing w:after="100" w:line="259" w:lineRule="auto"/>
      <w:ind w:left="220"/>
    </w:pPr>
    <w:rPr>
      <w:rFonts w:eastAsiaTheme="minorEastAsia" w:cs="Times New Roman"/>
    </w:rPr>
  </w:style>
  <w:style w:type="character" w:customStyle="1" w:styleId="Style1Char">
    <w:name w:val="Style1 Char"/>
    <w:basedOn w:val="DefaultParagraphFont"/>
    <w:link w:val="Style1"/>
    <w:rsid w:val="00616ECC"/>
    <w:rPr>
      <w:rFonts w:ascii="Cambria" w:hAnsi="Cambria"/>
      <w:b/>
      <w:bCs/>
      <w:sz w:val="32"/>
      <w:szCs w:val="32"/>
      <w:lang w:val="en-US"/>
    </w:rPr>
  </w:style>
  <w:style w:type="paragraph" w:styleId="TOC3">
    <w:name w:val="toc 3"/>
    <w:basedOn w:val="Normal"/>
    <w:next w:val="Normal"/>
    <w:autoRedefine/>
    <w:uiPriority w:val="39"/>
    <w:unhideWhenUsed/>
    <w:rsid w:val="00616ECC"/>
    <w:pPr>
      <w:spacing w:after="100" w:line="259" w:lineRule="auto"/>
      <w:ind w:left="440"/>
    </w:pPr>
    <w:rPr>
      <w:rFonts w:eastAsiaTheme="minorEastAsia" w:cs="Times New Roman"/>
    </w:rPr>
  </w:style>
  <w:style w:type="paragraph" w:customStyle="1" w:styleId="04xlpa">
    <w:name w:val="_04xlpa"/>
    <w:basedOn w:val="Normal"/>
    <w:rsid w:val="00042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DefaultParagraphFont"/>
    <w:rsid w:val="0004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552165">
      <w:bodyDiv w:val="1"/>
      <w:marLeft w:val="0"/>
      <w:marRight w:val="0"/>
      <w:marTop w:val="0"/>
      <w:marBottom w:val="0"/>
      <w:divBdr>
        <w:top w:val="none" w:sz="0" w:space="0" w:color="auto"/>
        <w:left w:val="none" w:sz="0" w:space="0" w:color="auto"/>
        <w:bottom w:val="none" w:sz="0" w:space="0" w:color="auto"/>
        <w:right w:val="none" w:sz="0" w:space="0" w:color="auto"/>
      </w:divBdr>
    </w:div>
    <w:div w:id="1187906607">
      <w:bodyDiv w:val="1"/>
      <w:marLeft w:val="0"/>
      <w:marRight w:val="0"/>
      <w:marTop w:val="0"/>
      <w:marBottom w:val="0"/>
      <w:divBdr>
        <w:top w:val="none" w:sz="0" w:space="0" w:color="auto"/>
        <w:left w:val="none" w:sz="0" w:space="0" w:color="auto"/>
        <w:bottom w:val="none" w:sz="0" w:space="0" w:color="auto"/>
        <w:right w:val="none" w:sz="0" w:space="0" w:color="auto"/>
      </w:divBdr>
    </w:div>
    <w:div w:id="1341813351">
      <w:bodyDiv w:val="1"/>
      <w:marLeft w:val="0"/>
      <w:marRight w:val="0"/>
      <w:marTop w:val="0"/>
      <w:marBottom w:val="0"/>
      <w:divBdr>
        <w:top w:val="none" w:sz="0" w:space="0" w:color="auto"/>
        <w:left w:val="none" w:sz="0" w:space="0" w:color="auto"/>
        <w:bottom w:val="none" w:sz="0" w:space="0" w:color="auto"/>
        <w:right w:val="none" w:sz="0" w:space="0" w:color="auto"/>
      </w:divBdr>
    </w:div>
    <w:div w:id="1840537342">
      <w:bodyDiv w:val="1"/>
      <w:marLeft w:val="0"/>
      <w:marRight w:val="0"/>
      <w:marTop w:val="0"/>
      <w:marBottom w:val="0"/>
      <w:divBdr>
        <w:top w:val="none" w:sz="0" w:space="0" w:color="auto"/>
        <w:left w:val="none" w:sz="0" w:space="0" w:color="auto"/>
        <w:bottom w:val="none" w:sz="0" w:space="0" w:color="auto"/>
        <w:right w:val="none" w:sz="0" w:space="0" w:color="auto"/>
      </w:divBdr>
    </w:div>
    <w:div w:id="1984119881">
      <w:bodyDiv w:val="1"/>
      <w:marLeft w:val="0"/>
      <w:marRight w:val="0"/>
      <w:marTop w:val="0"/>
      <w:marBottom w:val="0"/>
      <w:divBdr>
        <w:top w:val="none" w:sz="0" w:space="0" w:color="auto"/>
        <w:left w:val="none" w:sz="0" w:space="0" w:color="auto"/>
        <w:bottom w:val="none" w:sz="0" w:space="0" w:color="auto"/>
        <w:right w:val="none" w:sz="0" w:space="0" w:color="auto"/>
      </w:divBdr>
    </w:div>
    <w:div w:id="21362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ocuments\PROFESSIONAL\Vander%20Weele%20Group\EITAM\EITAM%20letters%20to%20update%20as%20of%20March%2015\Scheduling%20Confirmation%20Letter%20Revised%20March%2015.%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74DD-758D-4C42-96A2-A8537B3D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Scheduling Confirmation Letter Revised March 15. 2021</Template>
  <TotalTime>64</TotalTime>
  <Pages>13</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Outreach</cp:lastModifiedBy>
  <cp:revision>12</cp:revision>
  <dcterms:created xsi:type="dcterms:W3CDTF">2023-02-01T18:30:00Z</dcterms:created>
  <dcterms:modified xsi:type="dcterms:W3CDTF">2023-02-01T22:38:00Z</dcterms:modified>
</cp:coreProperties>
</file>